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(preguntas) e Índice ISCAM</w:t>
      </w:r>
    </w:p>
    <w:p>
      <w:pPr>
        <w:jc w:val="both"/>
      </w:pPr>
      <w:r>
        <w:rPr>
          <w:rFonts w:ascii="Arial" w:cs="Arial" w:eastAsia="Arial" w:hAnsi="Arial"/>
          <w:sz w:val="22"/>
          <w:szCs w:val="22"/>
        </w:rPr>
        <w:t xml:space="preserve">Café y cacao · 174 organizaciones · Primera versión · 14 de octubre de 2026</w:t>
      </w:r>
    </w:p>
    <w:p>
      <w:pPr>
        <w:spacing w:after="120"/>
        <w:jc w:val="both"/>
      </w:pPr>
      <w:r>
        <w:rPr>
          <w:rFonts w:ascii="Arial" w:cs="Arial" w:eastAsia="Arial" w:hAnsi="Arial"/>
          <w:b/>
          <w:bCs/>
          <w:sz w:val="22"/>
          <w:szCs w:val="22"/>
        </w:rPr>
        <w:t xml:space="preserve">Resumen. </w:t>
      </w:r>
      <w:r>
        <w:rPr>
          <w:rFonts w:ascii="Arial" w:cs="Arial" w:eastAsia="Arial" w:hAnsi="Arial"/>
          <w:sz w:val="22"/>
          <w:szCs w:val="22"/>
        </w:rPr>
        <w:t xml:space="preserve">Qué documenta este documento: el diseño de las 119 preguntas del Instrumento 2 (primera versión) — cómo se construyeron, qué escala usa cada una, cómo se evita el sesgo hacia el café y a qué parte del índice alimenta cada respuesta — y la metodología del índice implementado sobre las 174 organizaciones del marco muestral (ISA-EUDR, ISA-PactoVerde, ISA-Completo, IP, IV, RE, tipología 2x2, semáforos, índice de Pacto Verde y radar departamental). Estado al 2026-10-14: el instrumento está listo para aplicarse (revisión de calidad aprobada); el índice tiene sus fórmulas corregidas y verificadas sobre las 174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la performance de las cooperativas peruanas*).</w:t>
      </w:r>
    </w:p>
    <w:p>
      <w:pPr>
        <w:spacing w:after="160"/>
        <w:jc w:val="both"/>
      </w:pPr>
      <w:r>
        <w:rPr>
          <w:rFonts w:ascii="Arial" w:cs="Arial" w:eastAsia="Arial" w:hAnsi="Arial"/>
          <w:b/>
          <w:bCs/>
          <w:sz w:val="22"/>
          <w:szCs w:val="22"/>
        </w:rPr>
        <w:t xml:space="preserve">Palabras clave: </w:t>
      </w:r>
      <w:r>
        <w:rPr>
          <w:rFonts w:ascii="Arial" w:cs="Arial" w:eastAsia="Arial" w:hAnsi="Arial"/>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Instrucciones de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Mapa de correspondencia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Las 119 preguntas con su destino; marca de nueva (30) o modificada (5) en esta primera versión; filtro automático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Índice de Pacto Verde editable en 7 componentes (exposición UE 25, trazabilidad 20, diligencia 15, capacidad 10, presión del comprador 15, certificación 10, envases 5)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Marco muestral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36 variables de dato (comercio exterior, fiscalización, certificaciones, score de legalidad, dimensiones Pacto Verde, indicadores PVE)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Verificación rápida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Respaldo y validación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36 preguntas proxy por dimensión con umbrales 0.67/0.34</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ISA-Completo, semáforo, ranking y entradas manuales de D2, D5 y D6</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Motor de cálculo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D1–D11, IP1–IP5, IV1–IV5, IP, IV, RE, tipología 2x2, banderas, ISA-PV, indicador PVE,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Radar departamental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Promedio por departamento y por dimensión (11 dimensiones x 15 departamentos) + corte por producto</w:t>
            </w:r>
          </w:p>
        </w:tc>
      </w:tr>
    </w:tbl>
    <w:p>
      <w:pPr>
        <w:spacing w:after="120"/>
      </w:pPr>
      <w:r>
        <w:rPr>
          <w:rFonts w:ascii="Arial" w:cs="Arial" w:eastAsia="Arial" w:hAnsi="Arial"/>
          <w:sz w:val="22"/>
          <w:szCs w:val="22"/>
        </w:rPr>
        <w:t xml:space="preserve"/>
      </w: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RAIZ(D3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(D7 + D9 + Certificación)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sin certificado → 70; con certificado → 30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hoy: inh. vigente de legalidad (D3 = 0);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promedio(D12:D15) / 2, escala 0–1</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 PVE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promedio de los 14 indicadores PVE — no compone ISA-Completo (decisión documentada, §2.8)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0.70 x ISA-EUDR + 0.30 x ISA-PV x 100</w:t>
            </w:r>
          </w:p>
        </w:tc>
      </w:tr>
    </w:tbl>
    <w:p>
      <w:pPr>
        <w:spacing w:after="120"/>
      </w:pPr>
      <w:r>
        <w:rPr>
          <w:rFonts w:ascii="Arial" w:cs="Arial" w:eastAsia="Arial" w:hAnsi="Arial"/>
          <w:sz w:val="22"/>
          <w:szCs w:val="22"/>
        </w:rPr>
        <w:t xml:space="preserve"/>
      </w: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sz w:val="22"/>
          <w:szCs w:val="22"/>
        </w:rPr>
        <w:t xml:space="preserve">ISA-PactoVerde (D12–D15): media aritmética simple por dimensión y entre las cuatro; los módulos son complementarios (la huella informa el reporte, la circularidad reduce la huella, el fitosanitario protege el mismo mercado), no sustitutas estrictas.</w:t>
      </w:r>
    </w:p>
    <w:p>
      <w:pPr>
        <w:pStyle w:val="ListParagraph"/>
        <w:numPr>
          <w:ilvl w:val="0"/>
          <w:numId w:val="1"/>
        </w:numPr>
      </w:pPr>
      <w:r>
        <w:rPr>
          <w:rFonts w:ascii="Arial" w:cs="Arial" w:eastAsia="Arial" w:hAnsi="Arial"/>
          <w:sz w:val="22"/>
          <w:szCs w:val="22"/>
        </w:rPr>
        <w:t xml:space="preserve">ISA-Completo: 70% ISA-EUDR + 30% ISA-PactoVerde. El acceso al mercado UE lo decide el EUDR; la competitividad de largo plazo depende del Pacto Verde completo. Pesos a validar con el piloto (análisis de sensibilidad).</w:t>
      </w:r>
    </w:p>
    <w:p>
      <w:pPr>
        <w:pStyle w:val="ListParagraph"/>
        <w:numPr>
          <w:ilvl w:val="0"/>
          <w:numId w:val="1"/>
        </w:numPr>
      </w:pPr>
      <w:r>
        <w:rPr>
          <w:rFonts w:ascii="Arial" w:cs="Arial" w:eastAsia="Arial" w:hAnsi="Arial"/>
          <w:sz w:val="22"/>
          <w:szCs w:val="22"/>
        </w:rPr>
        <w:t xml:space="preserve">IP: 20% a cada una de las 5 sub-dimensiones (pesos iguales por defecto OECD/JRC; pendiente panel AHP del proyecto madre).</w:t>
      </w:r>
    </w:p>
    <w:p>
      <w:pPr>
        <w:pStyle w:val="ListParagraph"/>
        <w:numPr>
          <w:ilvl w:val="0"/>
          <w:numId w:val="1"/>
        </w:numPr>
      </w:pPr>
      <w:r>
        <w:rPr>
          <w:rFonts w:ascii="Arial" w:cs="Arial" w:eastAsia="Arial" w:hAnsi="Arial"/>
          <w:sz w:val="22"/>
          <w:szCs w:val="22"/>
        </w:rPr>
        <w:t xml:space="preserve">IV: promedio simple de las 5 sub-dimensiones.</w:t>
      </w:r>
    </w:p>
    <w:p>
      <w:pPr>
        <w:pStyle w:val="ListParagraph"/>
        <w:numPr>
          <w:ilvl w:val="0"/>
          <w:numId w:val="1"/>
        </w:numPr>
      </w:pPr>
      <w:r>
        <w:rPr>
          <w:rFonts w:ascii="Arial" w:cs="Arial" w:eastAsia="Arial" w:hAnsi="Arial"/>
          <w:sz w:val="22"/>
          <w:szCs w:val="22"/>
        </w:rPr>
        <w:t xml:space="preserve">Índice de Pacto Verde (ponderadores): exposición UE 25% · trazabilidad 20% · diligencia 15% · capacidad 10% · presión del comprador 15% · certificación 10% · envases/PPWR 5%.</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 → 0–1 (ISA-PV);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respaldo y validación; no alimenta el índice directamente</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Corrección de escala aplicada el 2026-10-14: antes, ISA-Completo mezclaba 0–100 con 0–1, de modo que el componente Pacto Verde aportaba como máximo 0.3 puntos de 100. Ahora ISA-Completo = 0.70 x ISA-EUDR + 0.30 x ISA-PV x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sz w:val="22"/>
          <w:szCs w:val="22"/>
        </w:rPr>
        <w:t xml:space="preserve">Semáforo por organización (ISA-Completo): Crítico 0–33 · Vulnerable 34–66 · Preparado 67–100. Una sola taxonomía en instrucciones, scorecards y marco muestral.</w:t>
      </w:r>
    </w:p>
    <w:p>
      <w:pPr>
        <w:pStyle w:val="ListParagraph"/>
        <w:numPr>
          <w:ilvl w:val="0"/>
          <w:numId w:val="1"/>
        </w:numPr>
      </w:pPr>
      <w:r>
        <w:rPr>
          <w:rFonts w:ascii="Arial" w:cs="Arial" w:eastAsia="Arial" w:hAnsi="Arial"/>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sz w:val="22"/>
          <w:szCs w:val="22"/>
        </w:rPr>
        <w:t xml:space="preserve">RE = IV x (1 − IP/100): operacionaliza que la preparación modera la vulnerabilidad (Hipótesis 3 del proyecto madre).</w:t>
      </w:r>
    </w:p>
    <w:p>
      <w:pPr>
        <w:pStyle w:val="ListParagraph"/>
        <w:numPr>
          <w:ilvl w:val="0"/>
          <w:numId w:val="1"/>
        </w:numPr>
      </w:pPr>
      <w:r>
        <w:rPr>
          <w:rFonts w:ascii="Arial" w:cs="Arial" w:eastAsia="Arial" w:hAnsi="Arial"/>
          <w:sz w:val="22"/>
          <w:szCs w:val="22"/>
        </w:rPr>
        <w:t xml:space="preserve">Ranking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 83 / 10)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sz w:val="22"/>
          <w:szCs w:val="22"/>
        </w:rPr>
        <w:t xml:space="preserve">El radar promedia cada dimensión por departamento (11 dimensiones x 15 departamentos, más promedios muestrales). D2, D5 y D6 provienen de las scorecards (carga del instrumento); D1, D3, D4 y D7–D11 del motor de cálculo. Sin dato se muestra como 0: la ausencia de dato no implica cumplimiento. Los promedios se alinean por organización dentro de la misma hoja para evitar desfases.</w:t>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 PVE (indicadores de performance)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Etiqueta de la dimensión 11 (antes "género e inclusión")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Proxies documentados; definición de diseño al ingresar el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Colisión de prefijos P (performance comercial vs indicadores PVE)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R para los indicadores PVE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Evita que un mismo identificador signifique dos cosas distintas</w:t>
            </w:r>
          </w:p>
        </w:tc>
      </w:tr>
    </w:tbl>
    <w:p>
      <w:pPr>
        <w:spacing w:after="120"/>
      </w:pPr>
      <w:r>
        <w:rPr>
          <w:rFonts w:ascii="Arial" w:cs="Arial" w:eastAsia="Arial" w:hAnsi="Arial"/>
          <w:sz w:val="22"/>
          <w:szCs w:val="22"/>
        </w:rPr>
        <w:t xml:space="preserve"/>
      </w: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P — Performance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R — Indicadores PVE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Indicadores del índice de Pacto Verde; indicador de validación externa, no insumo del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 metadata + 116 de instrumento</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Esta primera versión agregó 30 preguntas y modificó 5, cerrando los huecos de cobertura detectados en una revisión pregunta por pregunta contra el índice. 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B0.7, B0.12, D2.6, D3.11, D8.30, P11,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Banderas y texto libre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D2.10, D2.5b, D3.14i, D4.15a, D7.28, D10.36, D15.60; D5.19a, D7.28c, D11.38/39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 promedian: se reportan por separado</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Ramas condicionales (si la rama no aplica, la respuesta queda vacía —no se inventa valor—): B0.5 → B0.6; P8 → P9; D1.3 → D1.3a; D2.5a → D2.5b; D6.25a → D6.25b; D7.28b → D7.28c.</w:t>
      </w:r>
    </w:p>
    <w:p>
      <w:pPr>
        <w:keepNext/>
        <w:spacing w:after="80" w:before="240"/>
        <w:jc w:val="both"/>
      </w:pPr>
      <w:r>
        <w:rPr>
          <w:rFonts w:ascii="Arial" w:cs="Arial" w:eastAsia="Arial" w:hAnsi="Arial"/>
          <w:b/>
          <w:bCs/>
          <w:sz w:val="22"/>
          <w:szCs w:val="22"/>
        </w:rPr>
        <w:t xml:space="preserve">2.3 Diseño sin sesgo hacia el café</w:t>
      </w:r>
    </w:p>
    <w:p>
      <w:pPr>
        <w:jc w:val="both"/>
      </w:pPr>
      <w:r>
        <w:rPr>
          <w:rFonts w:ascii="Arial" w:cs="Arial" w:eastAsia="Arial" w:hAnsi="Arial"/>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sz w:val="22"/>
          <w:szCs w:val="22"/>
        </w:rPr>
        <w:t xml:space="preserve">Producto abierto: B0.3 pregunta el producto exportado y su código SA sin opción predeterminada. La distribución del marco real es 80 café / 83 cacao / 1 plátano / 10 sin dato (49% / 51%).</w:t>
      </w:r>
    </w:p>
    <w:p>
      <w:pPr>
        <w:pStyle w:val="ListParagraph"/>
        <w:numPr>
          <w:ilvl w:val="0"/>
          <w:numId w:val="1"/>
        </w:numPr>
      </w:pPr>
      <w:r>
        <w:rPr>
          <w:rFonts w:ascii="Arial" w:cs="Arial" w:eastAsia="Arial" w:hAnsi="Arial"/>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sz w:val="22"/>
          <w:szCs w:val="22"/>
        </w:rPr>
        <w:t xml:space="preserve">D15.58 (fitosanitario/LMR) aplica a ambos productos y cierra el módulo Farm to Fork, que estaba sesgado al café por la dependencia de CalCafé.</w:t>
      </w:r>
    </w:p>
    <w:p>
      <w:pPr>
        <w:pStyle w:val="ListParagraph"/>
        <w:numPr>
          <w:ilvl w:val="0"/>
          <w:numId w:val="1"/>
        </w:numPr>
      </w:pPr>
      <w:r>
        <w:rPr>
          <w:rFonts w:ascii="Arial" w:cs="Arial" w:eastAsia="Arial" w:hAnsi="Arial"/>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sz w:val="22"/>
          <w:szCs w:val="22"/>
        </w:rPr>
        <w:t xml:space="preserve">R5 dice "distintos del café o cacao", no "distintos del café".</w:t>
      </w:r>
    </w:p>
    <w:p>
      <w:pPr>
        <w:pStyle w:val="ListParagraph"/>
        <w:numPr>
          <w:ilvl w:val="0"/>
          <w:numId w:val="1"/>
        </w:numPr>
      </w:pPr>
      <w:r>
        <w:rPr>
          <w:rFonts w:ascii="Arial" w:cs="Arial" w:eastAsia="Arial" w:hAnsi="Arial"/>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sz w:val="22"/>
          <w:szCs w:val="22"/>
        </w:rPr>
        <w:t xml:space="preserve">Nunca imputar. Una dimensión completa sin respuesta es, con alta probabilidad, MNAR (la ausencia depende del propio valor no observado): imputar con la media sesgaría el índice hacia arriba exactamente donde debería mostrar el vacío.</w:t>
      </w:r>
    </w:p>
    <w:p>
      <w:pPr>
        <w:pStyle w:val="ListParagraph"/>
        <w:numPr>
          <w:ilvl w:val="0"/>
          <w:numId w:val="1"/>
        </w:numPr>
      </w:pPr>
      <w:r>
        <w:rPr>
          <w:rFonts w:ascii="Arial" w:cs="Arial" w:eastAsia="Arial" w:hAnsi="Arial"/>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sz w:val="22"/>
          <w:szCs w:val="22"/>
        </w:rPr>
        <w:t xml:space="preserve">Umbral mínimo ISA-EUDR: 7 de 9 dimensiones con al menos el 70% de sus preguntas de escala respondidas; si no, la organización se reporta como "diagnóstico EUDR incompleto".</w:t>
      </w:r>
    </w:p>
    <w:p>
      <w:pPr>
        <w:pStyle w:val="ListParagraph"/>
        <w:numPr>
          <w:ilvl w:val="0"/>
          <w:numId w:val="1"/>
        </w:numPr>
      </w:pPr>
      <w:r>
        <w:rPr>
          <w:rFonts w:ascii="Arial" w:cs="Arial" w:eastAsia="Arial" w:hAnsi="Arial"/>
          <w:sz w:val="22"/>
          <w:szCs w:val="22"/>
        </w:rPr>
        <w:t xml:space="preserve">Umbral mínimo ISA-PactoVerde: 3 de 4 dimensiones Pacto Verde con al menos el 70% respondido.</w:t>
      </w:r>
    </w:p>
    <w:p>
      <w:pPr>
        <w:pStyle w:val="ListParagraph"/>
        <w:numPr>
          <w:ilvl w:val="0"/>
          <w:numId w:val="1"/>
        </w:numPr>
      </w:pPr>
      <w:r>
        <w:rPr>
          <w:rFonts w:ascii="Arial" w:cs="Arial" w:eastAsia="Arial" w:hAnsi="Arial"/>
          <w:sz w:val="22"/>
          <w:szCs w:val="22"/>
        </w:rPr>
        <w:t xml:space="preserve">Distinguir "ausente" (se excluye y re-pondera) de "cero real" (se mantiene; en el bloque núcleo geométrico anula el producto — es la señal que el método busca mostrar).</w:t>
      </w:r>
    </w:p>
    <w:p>
      <w:pPr>
        <w:pStyle w:val="ListParagraph"/>
        <w:numPr>
          <w:ilvl w:val="0"/>
          <w:numId w:val="1"/>
        </w:numPr>
      </w:pPr>
      <w:r>
        <w:rPr>
          <w:rFonts w:ascii="Arial" w:cs="Arial" w:eastAsia="Arial" w:hAnsi="Arial"/>
          <w:sz w:val="22"/>
          <w:szCs w:val="22"/>
        </w:rPr>
        <w:t xml:space="preserve">Regla operativa en la hoja de cálculo: sin dato se trata como 0 y el semáforo muestra "sin instrumento" —la ausencia de dato no implica cumplimiento—.</w:t>
      </w:r>
    </w:p>
    <w:p>
      <w:pPr>
        <w:keepNext/>
        <w:spacing w:after="80" w:before="240"/>
        <w:jc w:val="both"/>
      </w:pPr>
      <w:r>
        <w:rPr>
          <w:rFonts w:ascii="Arial" w:cs="Arial" w:eastAsia="Arial" w:hAnsi="Arial"/>
          <w:b/>
          <w:bCs/>
          <w:sz w:val="22"/>
          <w:szCs w:val="22"/>
        </w:rPr>
        <w:t xml:space="preserve">2.5 Trazabilidad del diseño (de dónde salió cada pregunta nueva)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Origen de la necesidad</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Preguntas agregadas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Variables del cuestionario de verificación rápida que no tenían pregunta en el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B0.17 (RNCA) · D2.5a / D2.5b (proveedores externos no socios y su trazabilidad) · D3.14h (autorizaciones ambientales) · D3.14i (sanción ambiental vigente) · D4.15a (alertas de deforestación) · D6.22c (personal de datos) · D7.26a / D7.26b (comprador UE/CSDDD y cláusula contractual) · D10.36a (asesoría EUDR específica) · D11.39a (plataforma de trazabilidad del sector) · PP1 / PP2 (tipo de saco y certificación FSC)</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13</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Pacto Verde sin dato (30% de ISA-Completo sin fuente)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D12.42 (huella de carbono) · D13.45 (reporte de sostenibilidad) · D14.51 (gestión de residuos) · D15.58 (monitoreo LMR)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Indicadores del índice de Pacto Verde sin pregunta fuente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R1–R10 (crédito, formalización, capacitación, retención, diversificación, premium, inversión EUDR, reclamos, energía renovable, residuos)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Campos de ficha que la hoja usaba como proxy de vulnerabilidad</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B0.15 (tipo de organización) · B0.16 (departamento)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Redacción: rol EUDR explícito como rama de D1.3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D1.3a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Total preguntas nuevas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30</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Además se modificaron 5 preguntas para eliminar ambigüedad: B0.8 (destinos dentro y fuera de la UE, principal primero), D3.12 (opción explícita de área natural protegida / zona de amortiguamiento), D4.15 (precisa el cruce con mapas de deforestación), D6.22 (distingue partida de tecnología y datos) y D9.34 (incluye fuente de financiamiento identificada).</w:t>
      </w:r>
    </w:p>
    <w:p>
      <w:pPr>
        <w:keepNext/>
        <w:spacing w:after="80" w:before="240"/>
        <w:jc w:val="both"/>
      </w:pPr>
      <w:r>
        <w:rPr>
          <w:rFonts w:ascii="Arial" w:cs="Arial" w:eastAsia="Arial" w:hAnsi="Arial"/>
          <w:b/>
          <w:bCs/>
          <w:sz w:val="22"/>
          <w:szCs w:val="22"/>
        </w:rPr>
        <w:t xml:space="preserve">2.6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Indicadores del índice de Pacto Verde (validación externa)</w:t>
            </w:r>
          </w:p>
        </w:tc>
      </w:tr>
    </w:tbl>
    <w:p>
      <w:pPr>
        <w:spacing w:after="120"/>
      </w:pPr>
      <w:r>
        <w:rPr>
          <w:rFonts w:ascii="Arial" w:cs="Arial" w:eastAsia="Arial" w:hAnsi="Arial"/>
          <w:sz w:val="22"/>
          <w:szCs w:val="22"/>
        </w:rPr>
        <w:t xml:space="preserve"/>
      </w:r>
    </w:p>
    <w:p>
      <w:pPr>
        <w:jc w:val="both"/>
      </w:pPr>
      <w:r>
        <w:rPr>
          <w:rFonts w:ascii="Arial" w:cs="Arial" w:eastAsia="Arial" w:hAnsi="Arial"/>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100" w:before="280"/>
        <w:jc w:val="both"/>
      </w:pPr>
      <w:r>
        <w:rPr>
          <w:rFonts w:ascii="Arial" w:cs="Arial" w:eastAsia="Arial" w:hAnsi="Arial"/>
          <w:b/>
          <w:bCs/>
          <w:sz w:val="22"/>
          <w:szCs w:val="22"/>
        </w:rPr>
        <w:t xml:space="preserve">3. Estado de implementación y correcciones aplicadas</w:t>
      </w:r>
    </w:p>
    <w:p>
      <w:pPr>
        <w:jc w:val="both"/>
      </w:pPr>
      <w:r>
        <w:rPr>
          <w:rFonts w:ascii="Arial" w:cs="Arial" w:eastAsia="Arial" w:hAnsi="Arial"/>
          <w:sz w:val="22"/>
          <w:szCs w:val="22"/>
        </w:rPr>
        <w:t xml:space="preserve">La revisión célula por célula de la hoja de cálculo detectó 12 defectos. Al 2026-10-14, 10 están cerrados (corregidos o resueltos por decisión documentada) y queda uno pendiente, que depende de que existan respuestas reales que cargar: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tblHeader/>
        </w:trPr>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Defecto</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Estado</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Corrección</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Fórmulas del bloque de ponderadores que no evaluaban (función en español, símbolo de raíz, nombres definidos inexistentes, referencias a celdas vacías)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Celdas convertidas a descripción documentada con su equivalencia; fila del ISA-EUDR completada; proxies de IV1–IV5 documentados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La clasificación del marco muestral se mostraba desplazada dos organizaciones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Referencia a la misma organización en la scorecard</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Los promedios muestrales excluían la última organización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Los promedios cubren las 174 organizaciones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El radar reportaba dos veces la dimensión de legalidad y ninguna la de presión del comprador; una columna cruzaba hojas con desfase de organización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Cada dimensión se promedia con criterios de la misma hoja</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5</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Cuatro dimensiones del radar estaban fijas en cero (sin reporte por departamento)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Conectadas al motor de cálculo; fórmulas huérfanas eliminadas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6</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Error de escala en ISA-Completo (Pacto Verde en 0–1 contra EUDR en 0–100)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ISA-Completo = 0.70 x ISA-EUDR + 0.30 x ISA-PV x 100</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IV1–IV5 placeholders incoherentes (IV1 multiplicaba por 50 una escala 0–1; IV3 trataba "sin hectáreas" como bajo riesgo)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IV1 = exposición UE real; IV3 = hectáreas por socio con umbrales y sin dato a 65</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8</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Colisiones semánticas de nombres (dimensión 11 etiquetada como tema de género, prefijos repetidos, tres taxonomías de semáforo)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Etiqueta de la dimensión 11 corregida (§2.8); etiquetas de ponderadores desambiguadas; semáforo unificado; prefijo resuelto con el Bloque R</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9</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Falta la capa de ingesta (codificación 0-4 a 0-100 y carga con join por RUC)</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Pendiente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Las dimensiones sin fuente externa siguen en 0 hasta ingresar el instrumento; el mapa de correspondencia es la guía de carga</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Datos sucios (certificación con espacio final, valor fuera de dominio, registros sin nombre ni departamento, valores escritos a mano en lugar de fórmula)</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Corregido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Limpieza verificada contra respaldo: los valores manuales coincidían con la fuente antes de reemplazarlos por fórmula</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Indicador PVE calculado pero sin uso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Resuelto (decisión)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 entra en ISA-Completo: es la variable de validación externa del índice (§2.8)</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Semáforo "sin instrumento" en las 174 organizaciones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Esperado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Etiqueta correcta mientras no haya carga del instrumento</w:t>
            </w:r>
          </w:p>
        </w:tc>
      </w:tr>
    </w:tbl>
    <w:p>
      <w:pPr>
        <w:spacing w:after="120"/>
      </w:pPr>
      <w:r>
        <w:rPr>
          <w:rFonts w:ascii="Arial" w:cs="Arial" w:eastAsia="Arial" w:hAnsi="Arial"/>
          <w:sz w:val="22"/>
          <w:szCs w:val="22"/>
        </w:rPr>
        <w:t xml:space="preserve"/>
      </w:r>
    </w:p>
    <w:p>
      <w:pPr>
        <w:keepNext/>
        <w:spacing w:after="100" w:before="280"/>
        <w:jc w:val="both"/>
      </w:pPr>
      <w:r>
        <w:rPr>
          <w:rFonts w:ascii="Arial" w:cs="Arial" w:eastAsia="Arial" w:hAnsi="Arial"/>
          <w:b/>
          <w:bCs/>
          <w:sz w:val="22"/>
          <w:szCs w:val="22"/>
        </w:rPr>
        <w:t xml:space="preserve">4. Validación y robustez</w:t>
      </w:r>
    </w:p>
    <w:p>
      <w:pPr>
        <w:pStyle w:val="ListParagraph"/>
        <w:numPr>
          <w:ilvl w:val="0"/>
          <w:numId w:val="1"/>
        </w:numPr>
      </w:pPr>
      <w:r>
        <w:rPr>
          <w:rFonts w:ascii="Arial" w:cs="Arial" w:eastAsia="Arial" w:hAnsi="Arial"/>
          <w:sz w:val="22"/>
          <w:szCs w:val="22"/>
        </w:rPr>
        <w:t xml:space="preserve">Consistencia interna: alfa de Cronbach (Cronbach, 1951) por dimensión con los datos del piloto; un alfa &lt; 0.6 obliga a revisar la redacción antes de escalar.</w:t>
      </w:r>
    </w:p>
    <w:p>
      <w:pPr>
        <w:pStyle w:val="ListParagraph"/>
        <w:numPr>
          <w:ilvl w:val="0"/>
          <w:numId w:val="1"/>
        </w:numPr>
      </w:pPr>
      <w:r>
        <w:rPr>
          <w:rFonts w:ascii="Arial" w:cs="Arial" w:eastAsia="Arial" w:hAnsi="Arial"/>
          <w:sz w:val="22"/>
          <w:szCs w:val="22"/>
        </w:rPr>
        <w:t xml:space="preserve">Estructura multivariada: Análisis de Componentes Principales sobre D1–D15 con la primera ronda completa para verificar el supuesto de pesos iguales.</w:t>
      </w:r>
    </w:p>
    <w:p>
      <w:pPr>
        <w:pStyle w:val="ListParagraph"/>
        <w:numPr>
          <w:ilvl w:val="0"/>
          <w:numId w:val="1"/>
        </w:numPr>
      </w:pPr>
      <w:r>
        <w:rPr>
          <w:rFonts w:ascii="Arial" w:cs="Arial" w:eastAsia="Arial" w:hAnsi="Arial"/>
          <w:sz w:val="22"/>
          <w:szCs w:val="22"/>
        </w:rPr>
        <w:t xml:space="preserve">Sensibilidad: recálculo con media aritmética vs. geométrica; con pesos iguales entre las 9 dimensiones; con pesos alternativos 70/30 (80/20, 60/40, 50/50); y con la regla estricta de datos faltantes vs. la re-ponderación. Correlación de rangos (Spearman) en cada caso.</w:t>
      </w:r>
    </w:p>
    <w:p>
      <w:pPr>
        <w:pStyle w:val="ListParagraph"/>
        <w:numPr>
          <w:ilvl w:val="0"/>
          <w:numId w:val="1"/>
        </w:numPr>
      </w:pPr>
      <w:r>
        <w:rPr>
          <w:rFonts w:ascii="Arial" w:cs="Arial" w:eastAsia="Arial" w:hAnsi="Arial"/>
          <w:sz w:val="22"/>
          <w:szCs w:val="22"/>
        </w:rPr>
        <w:t xml:space="preserve">Bootstrap (B = 1000) para intervalos de confianza de ISA, IP, IV y RE por cooperativa y del ranking agregado, una vez exista la primera ronda completa (requisito de robustez del proyecto madre).</w:t>
      </w:r>
    </w:p>
    <w:p>
      <w:pPr>
        <w:pStyle w:val="ListParagraph"/>
        <w:numPr>
          <w:ilvl w:val="0"/>
          <w:numId w:val="1"/>
        </w:numPr>
      </w:pPr>
      <w:r>
        <w:rPr>
          <w:rFonts w:ascii="Arial" w:cs="Arial" w:eastAsia="Arial" w:hAnsi="Arial"/>
          <w:sz w:val="22"/>
          <w:szCs w:val="22"/>
        </w:rPr>
        <w:t xml:space="preserve">Calibración por raking (Deville &amp; Särndal, 1992; recomendado por AAPOR 2013 para muestras no probabilísticas por cuotas) contra los totales marginales del universo (producto, tamaño, territorio) para reportar el índice ajustado junto al sin ajustar.</w:t>
      </w:r>
    </w:p>
    <w:p>
      <w:pPr>
        <w:pStyle w:val="ListParagraph"/>
        <w:numPr>
          <w:ilvl w:val="0"/>
          <w:numId w:val="1"/>
        </w:numPr>
      </w:pPr>
      <w:r>
        <w:rPr>
          <w:rFonts w:ascii="Arial" w:cs="Arial" w:eastAsia="Arial" w:hAnsi="Arial"/>
          <w:sz w:val="22"/>
          <w:szCs w:val="22"/>
        </w:rPr>
        <w:t xml:space="preserve">Validación externa del índice: correlacionar IP/RE contra certificaciones, % volumen trazable, continuidad exportadora y acceso a mercado UE (Fase 4, paso 12 del proyecto madre) —donde entra el indicador PVE y el Bloque P—.</w:t>
      </w:r>
    </w:p>
    <w:p>
      <w:pPr>
        <w:keepNext/>
        <w:spacing w:after="100" w:before="280"/>
        <w:jc w:val="both"/>
      </w:pPr>
      <w:r>
        <w:rPr>
          <w:rFonts w:ascii="Arial" w:cs="Arial" w:eastAsia="Arial" w:hAnsi="Arial"/>
          <w:b/>
          <w:bCs/>
          <w:sz w:val="22"/>
          <w:szCs w:val="22"/>
        </w:rPr>
        <w:t xml:space="preserve">5. Trazabilidad y auditoría</w:t>
      </w:r>
    </w:p>
    <w:p>
      <w:pPr>
        <w:pStyle w:val="ListParagraph"/>
        <w:numPr>
          <w:ilvl w:val="0"/>
          <w:numId w:val="1"/>
        </w:numPr>
      </w:pPr>
      <w:r>
        <w:rPr>
          <w:rFonts w:ascii="Arial" w:cs="Arial" w:eastAsia="Arial" w:hAnsi="Arial"/>
          <w:sz w:val="22"/>
          <w:szCs w:val="22"/>
        </w:rPr>
        <w:t xml:space="preserve">Cada pregunta del instrumento tiene un destino identificado en el mapa de correspondencia de la hoja de cálculo (119 filas), resumido por bloque en §2.6 de este documento.</w:t>
      </w:r>
    </w:p>
    <w:p>
      <w:pPr>
        <w:pStyle w:val="ListParagraph"/>
        <w:numPr>
          <w:ilvl w:val="0"/>
          <w:numId w:val="1"/>
        </w:numPr>
      </w:pPr>
      <w:r>
        <w:rPr>
          <w:rFonts w:ascii="Arial" w:cs="Arial" w:eastAsia="Arial" w:hAnsi="Arial"/>
          <w:sz w:val="22"/>
          <w:szCs w:val="22"/>
        </w:rPr>
        <w:t xml:space="preserve">Cada corrección de fórmula queda registrada con su descripción en el estado de implementación (§3) y en las notas del área de ponderadores de la hoja de cálculo.</w:t>
      </w:r>
    </w:p>
    <w:p>
      <w:pPr>
        <w:pStyle w:val="ListParagraph"/>
        <w:numPr>
          <w:ilvl w:val="0"/>
          <w:numId w:val="1"/>
        </w:numPr>
      </w:pPr>
      <w:r>
        <w:rPr>
          <w:rFonts w:ascii="Arial" w:cs="Arial" w:eastAsia="Arial" w:hAnsi="Arial"/>
          <w:sz w:val="22"/>
          <w:szCs w:val="22"/>
        </w:rPr>
        <w:t xml:space="preserve">Verificación programática del estado actual: 0 fórmulas inválidas en las 8 áreas de la hoja; cobertura de las 174 organizaciones en cada corrección; 165 celdas de promedio del radar; 119 preguntas únicas sin duplicados.</w:t>
      </w:r>
    </w:p>
    <w:p>
      <w:pPr>
        <w:pStyle w:val="ListParagraph"/>
        <w:numPr>
          <w:ilvl w:val="0"/>
          <w:numId w:val="1"/>
        </w:numPr>
      </w:pPr>
      <w:r>
        <w:rPr>
          <w:rFonts w:ascii="Arial" w:cs="Arial" w:eastAsia="Arial" w:hAnsi="Arial"/>
          <w:sz w:val="22"/>
          <w:szCs w:val="22"/>
        </w:rPr>
        <w:t xml:space="preserve">Cada intervención sobre la hoja de cálculo se realiza sobre una copia fechada previa, de modo que cualquier estado anterior es reconstruible.</w:t>
      </w:r>
    </w:p>
    <w:p>
      <w:pPr>
        <w:pStyle w:val="ListParagraph"/>
        <w:numPr>
          <w:ilvl w:val="0"/>
          <w:numId w:val="1"/>
        </w:numPr>
      </w:pPr>
      <w:r>
        <w:rPr>
          <w:rFonts w:ascii="Arial" w:cs="Arial" w:eastAsia="Arial" w:hAnsi="Arial"/>
          <w:sz w:val="22"/>
          <w:szCs w:val="22"/>
        </w:rPr>
        <w:t xml:space="preserve">Reglas de integridad para quien cargue datos: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6. Pendientes y próximos pasos</w:t>
      </w:r>
    </w:p>
    <w:p>
      <w:pPr>
        <w:pStyle w:val="ListParagraph"/>
        <w:numPr>
          <w:ilvl w:val="0"/>
          <w:numId w:val="2"/>
        </w:numPr>
      </w:pPr>
      <w:r>
        <w:rPr>
          <w:rFonts w:ascii="Arial" w:cs="Arial" w:eastAsia="Arial" w:hAnsi="Arial"/>
          <w:sz w:val="22"/>
          <w:szCs w:val="22"/>
        </w:rPr>
        <w:t xml:space="preserve">Capa de ingesta (único bloqueante del cálculo): tabla de codificación (0–4 a 0–100, categóricas ordinales, porcentaje directo) + carga con unión por RUC contra el marco muestral. El mapa de correspondencia es la guía; sin ella, las dimensiones sin fuente externa permanecen en 0.</w:t>
      </w:r>
    </w:p>
    <w:p>
      <w:pPr>
        <w:pStyle w:val="ListParagraph"/>
        <w:numPr>
          <w:ilvl w:val="0"/>
          <w:numId w:val="2"/>
        </w:numPr>
      </w:pPr>
      <w:r>
        <w:rPr>
          <w:rFonts w:ascii="Arial" w:cs="Arial" w:eastAsia="Arial" w:hAnsi="Arial"/>
          <w:sz w:val="22"/>
          <w:szCs w:val="22"/>
        </w:rPr>
        <w:t xml:space="preserve">Piloto de comprensibilidad y ajuste de ítems con no-respuesta &gt; 20%.</w:t>
      </w:r>
    </w:p>
    <w:p>
      <w:pPr>
        <w:pStyle w:val="ListParagraph"/>
        <w:numPr>
          <w:ilvl w:val="0"/>
          <w:numId w:val="2"/>
        </w:numPr>
      </w:pPr>
      <w:r>
        <w:rPr>
          <w:rFonts w:ascii="Arial" w:cs="Arial" w:eastAsia="Arial" w:hAnsi="Arial"/>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sz w:val="22"/>
          <w:szCs w:val="22"/>
        </w:rPr>
        <w:t xml:space="preserve">Reescribir IV1–IV5 con las definiciones de diseño una vez ingresado el instrumento (insumos ya capturados).</w:t>
      </w:r>
    </w:p>
    <w:p>
      <w:pPr>
        <w:pStyle w:val="ListParagraph"/>
        <w:numPr>
          <w:ilvl w:val="0"/>
          <w:numId w:val="2"/>
        </w:numPr>
      </w:pPr>
      <w:r>
        <w:rPr>
          <w:rFonts w:ascii="Arial" w:cs="Arial" w:eastAsia="Arial" w:hAnsi="Arial"/>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Fundamento</w:t>
      </w:r>
    </w:p>
    <w:p>
      <w:pPr>
        <w:jc w:val="both"/>
      </w:pPr>
      <w:r>
        <w:rPr>
          <w:rFonts w:ascii="Arial" w:cs="Arial" w:eastAsia="Arial" w:hAnsi="Arial"/>
          <w:sz w:val="22"/>
          <w:szCs w:val="22"/>
        </w:rPr>
        <w:t xml:space="preserve">Los requisitos de esta primera versión provienen del proyecto madre —ISCAM, Universidad del Pacífico: *El impacto del Pacto Verde Europeo en la performance de las cooperativas peruanas*—: encuesta organizacional con escala ordinal 0–4, muestreo no probabilístico por cuotas con calibración ex-post, índice sintético de alineamiento con agregación geométrica en el núcleo (precedente IDH-PNUD 2010), robustez con alfa/PCA/bootstrap y validación externa contra indicadores de performance (Fase 4).</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sz w:val="22"/>
          <w:szCs w:val="22"/>
        </w:rPr>
        <w:t xml:space="preserve">OECD/JRC, *Handbook on Constructing Composite Indicators* (2008).</w:t>
      </w:r>
    </w:p>
    <w:p>
      <w:pPr>
        <w:ind w:left="720"/>
        <w:jc w:val="both"/>
      </w:pPr>
      <w:r>
        <w:rPr>
          <w:rFonts w:ascii="Arial" w:cs="Arial" w:eastAsia="Arial" w:hAnsi="Arial"/>
          <w:sz w:val="22"/>
          <w:szCs w:val="22"/>
        </w:rPr>
        <w:t xml:space="preserve">Greco, Ishizaka, Tasiou &amp; Torrisi (2019), *Social Indicators Research* 141.</w:t>
      </w:r>
    </w:p>
    <w:p>
      <w:pPr>
        <w:ind w:left="720"/>
        <w:jc w:val="both"/>
      </w:pPr>
      <w:r>
        <w:rPr>
          <w:rFonts w:ascii="Arial" w:cs="Arial" w:eastAsia="Arial" w:hAnsi="Arial"/>
          <w:sz w:val="22"/>
          <w:szCs w:val="22"/>
        </w:rPr>
        <w:t xml:space="preserve">PNUD, *Informe de Desarrollo Humano 2010* (cambio de media aritmética a geométrica).</w:t>
      </w:r>
    </w:p>
    <w:p>
      <w:pPr>
        <w:ind w:left="720"/>
        <w:jc w:val="both"/>
      </w:pPr>
      <w:r>
        <w:rPr>
          <w:rFonts w:ascii="Arial" w:cs="Arial" w:eastAsia="Arial" w:hAnsi="Arial"/>
          <w:sz w:val="22"/>
          <w:szCs w:val="22"/>
        </w:rPr>
        <w:t xml:space="preserve">Rubin (1976) y Little &amp; Rubin (2002) sobre datos faltantes.</w:t>
      </w:r>
    </w:p>
    <w:p>
      <w:pPr>
        <w:ind w:left="720"/>
        <w:jc w:val="both"/>
      </w:pPr>
      <w:r>
        <w:rPr>
          <w:rFonts w:ascii="Arial" w:cs="Arial" w:eastAsia="Arial" w:hAnsi="Arial"/>
          <w:sz w:val="22"/>
          <w:szCs w:val="22"/>
        </w:rPr>
        <w:t xml:space="preserve">Deville &amp; Särndal (1992) y AAPOR (2013) sobre calibración/raking.</w:t>
      </w:r>
    </w:p>
    <w:p>
      <w:pPr>
        <w:ind w:left="720"/>
        <w:jc w:val="both"/>
      </w:pPr>
      <w:r>
        <w:rPr>
          <w:rFonts w:ascii="Arial" w:cs="Arial" w:eastAsia="Arial" w:hAnsi="Arial"/>
          <w:sz w:val="22"/>
          <w:szCs w:val="22"/>
        </w:rPr>
        <w:t xml:space="preserve">Cronbach (1951).</w:t>
      </w:r>
    </w:p>
    <w:p>
      <w:pPr>
        <w:ind w:left="720"/>
        <w:jc w:val="both"/>
      </w:pPr>
      <w:r>
        <w:rPr>
          <w:rFonts w:ascii="Arial" w:cs="Arial" w:eastAsia="Arial" w:hAnsi="Arial"/>
          <w:sz w:val="22"/>
          <w:szCs w:val="22"/>
        </w:rPr>
        <w:t xml:space="preserve">Saaty (AHP).</w:t>
      </w:r>
    </w:p>
    <w:p>
      <w:pPr>
        <w:ind w:left="720"/>
        <w:jc w:val="both"/>
      </w:pPr>
      <w:r>
        <w:rPr>
          <w:rFonts w:ascii="Arial" w:cs="Arial" w:eastAsia="Arial" w:hAnsi="Arial"/>
          <w:sz w:val="22"/>
          <w:szCs w:val="22"/>
        </w:rPr>
        <w:t xml:space="preserve">*Capability Maturity Model Integration* (SEI/Carnegie Mellon).</w:t>
      </w:r>
    </w:p>
    <w:p>
      <w:pPr>
        <w:ind w:left="720"/>
        <w:jc w:val="both"/>
      </w:pPr>
      <w:r>
        <w:rPr>
          <w:rFonts w:ascii="Arial" w:cs="Arial" w:eastAsia="Arial" w:hAnsi="Arial"/>
          <w:sz w:val="22"/>
          <w:szCs w:val="22"/>
        </w:rPr>
        <w:t xml:space="preserve">SAI Platform Farm Sustainability Assessment.</w:t>
      </w:r>
    </w:p>
    <w:p>
      <w:pPr>
        <w:ind w:left="720"/>
        <w:jc w:val="both"/>
      </w:pPr>
      <w:r>
        <w:rPr>
          <w:rFonts w:ascii="Arial" w:cs="Arial" w:eastAsia="Arial" w:hAnsi="Arial"/>
          <w:sz w:val="22"/>
          <w:szCs w:val="22"/>
        </w:rPr>
        <w:t xml:space="preserve">Team Europe Initiative on Deforestation-free Value Chains (2025, Vietnam) —que aporta "género e inclusión" como criterio transversal de preparación con "riesgo de exclusión".</w:t>
      </w:r>
    </w:p>
    <w:p>
      <w:pPr>
        <w:ind w:left="720"/>
        <w:jc w:val="both"/>
      </w:pPr>
      <w:r>
        <w:rPr>
          <w:rFonts w:ascii="Arial" w:cs="Arial" w:eastAsia="Arial" w:hAnsi="Arial"/>
          <w:sz w:val="22"/>
          <w:szCs w:val="22"/>
        </w:rPr>
        <w:t xml:space="preserve">Grabs (2024/2025, *Regulation &amp; Governance*) sobre construcción de cumplimiento EUDR en cadenas de café.</w:t>
      </w:r>
    </w:p>
    <w:p>
      <w:pPr>
        <w:ind w:left="720"/>
        <w:jc w:val="both"/>
      </w:pPr>
      <w:r>
        <w:rPr>
          <w:rFonts w:ascii="Arial" w:cs="Arial" w:eastAsia="Arial" w:hAnsi="Arial"/>
          <w:sz w:val="22"/>
          <w:szCs w:val="22"/>
        </w:rPr>
        <w:t xml:space="preserve">estudio sobre membresía cooperativa y cumplimiento EUDR en cacao (Côte d'Ivoire, 2025).</w:t>
      </w:r>
    </w:p>
    <w:p>
      <w:pPr>
        <w:ind w:left="720"/>
        <w:jc w:val="both"/>
      </w:pPr>
      <w:r>
        <w:rPr>
          <w:rFonts w:ascii="Arial" w:cs="Arial" w:eastAsia="Arial" w:hAnsi="Arial"/>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2026-10-14T22:37:31.364Z</dcterms:created>
  <dcterms:modified xsi:type="dcterms:W3CDTF">2026-10-14T22:37:31.365Z</dcterms:modified>
</cp:coreProperties>
</file>

<file path=docProps/custom.xml><?xml version="1.0" encoding="utf-8"?>
<Properties xmlns="http://schemas.openxmlformats.org/officeDocument/2006/custom-properties" xmlns:vt="http://schemas.openxmlformats.org/officeDocument/2006/docPropsVTypes"/>
</file>