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 xml:space="preserve">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 xml:space="preserve">Este documento forma parte del proyecto ISCAM (Universidad del Pacífico): *El impacto del Pacto Verde Europeo en la performance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score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ISA-Completo, semáforo, ranking; espejo de D2, D5 y D6 desde NORMALIZADO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Regla de conversión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Las 290 opciones de respuesta con su puntaje 0-100 o «sin dato»; editable, marca «[R]» los ítems a ratificar</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Captura del instrumento (hoja CAPTURA)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Entrada de datos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174 cooperativas × 119 preguntas, con listas desplegables y validaciones; única hoja de escritura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Normalización (hoja NORMALIZADO)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Cálculo intermedio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0-100 por pregunta y agregado de las 11 dimensiones (D1-D11); alimenta ISCAM_Score</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(D7 + D9 + Certificación)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Categórica ordinal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Preguntas de opción (63)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 0-100 por opción; «sin dato» no promedia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(performance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t>Sin dato se muestra «—» (nunca 0). ISA-EUDR, IP, RE, ISA-Completo, el promedio del radar y los semáforos quedan sin dato; la tipología pasa a «⬜ Pendiente de instrumento».</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jc w:val="both"/>
      </w:pPr>
      <w:r>
        <w:t>La conversión de las respuestas categóricas a puntaje es explícita y auditable: la hoja CODIFICACION es la tabla de codificación del instrumento (una fila por opción de respuesta) y asigna a cada opción un valor de 0 a 100 —100 indica el mayor alineamiento con el EUDR y el Pacto Verde— o la marca «sin dato». Las preguntas de escala 0–4 se convierten ×25; las de porcentaje entran directas en 0–100; las de casillas múltiples puntúan por el número de componentes marcados. Las opciones que expresan desconocimiento o no aplicación («No sabe», «No verifica», «No se ha medido», «No aplica») se codifican como «sin dato» y no promedian: la ausencia de respuesta nunca se convierte en incumplimiento. La tabla es editable; la dirección de cada ítem quedó ratificada contra las fuentes del propio instrumento (nota siguiente).</w:t>
      </w:r>
    </w:p>
    <w:p>
      <w:pPr>
        <w:pStyle w:val="ListParagraph"/>
      </w:pPr>
      <w:r>
        <w:t>Ratificación de la codificación (2026-10-15). La dirección de los quince ítems que estaban marcados «[R]» se contrastó contra las fuentes del instrumento —la nota de puntaje del Instrumento 2, la Tabla 5 del documento de trabajo (qué promedia y qué no en cada dimensión) y las reglas de integridad de la estructura de la hoja de respuestas—. El resultado: ocho ítems no entran a ningún promedio, porque el propio instrumento los ubica fuera de él —B0.8 (identificación, Bloque 0); P8, P10, P13 y P14 (desempeño, Bloque P); las banderas D2.10, D2.5b, D3.14i, D4.15a, D7.28, D10.36 y D10.37; la verificación D3.14g; y los mapeos D5.19a, D7.28c, D11.38 y D11.39a—. No se elimina su captura: se recogen y se reportan por separado, que es su lugar (banderas de alerta, mapeos e insumos del Instrumento 4). Los siete restantes sí promedian y su dirección queda confirmada: D1.1 (introducción bajo nombre propio), D1.4 (umbral micro/pequeña empresa), D3.12 (severidad de la superposición a áreas protegidas), D4.15 (verificación del cambio de uso posterior al 31-dic-2020), D6.25b (última prueba del protocolo), D9.34 (carga financiera de la adecuación) y PP1 (reutilización del saco, que alimenta PPWR y no el ISA-EUDR). Las dimensiones afectadas cambian de insumo por esta razón: los promedios de D2, D5 y D7 se computan sobre las preguntas que el instrumento define como promediables, y D10 y D11 dejan de promediar como madurez —D11 es inventario—.</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Umbral mínimo ISA-PactoVerde: 3 de las 4 dimensiones Pacto Verde (D12–D15) con dato; por debajo del umbral, ISA-PactoVerde y el promedio PVE se reportan como «—» (sin dato), nunca como 0 —un valor calculado sobre una sola dimensión sería una medición falsa—. Por encima del umbral el índice se computa solo sobre los componentes con dato, re-normalizando las ponderaciones. El umbral se evalúa sobre la captura (hoja NORMALIZADO), no sobre el proxy precensal.</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 Parcial · Inst. 2 pendiente»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pStyle w:val="ListParagraph"/>
        <w:numPr>
          <w:ilvl w:val="0"/>
          <w:numId w:val="1"/>
        </w:numPr>
      </w:pPr>
      <w:r>
        <w:rPr>
          <w:rFonts w:ascii="Arial" w:cs="Arial" w:eastAsia="Arial" w:hAnsi="Arial"/>
          <w:b w:val="false"/>
          <w:bCs w:val="false"/>
          <w:sz w:val="22"/>
          <w:szCs w:val="22"/>
        </w:rPr>
        <w:t>ISA-PactoVerde aplica la misma regla que ISA-EUDR: se pondera solo sobre los componentes con dato y la suma de ponderaciones se re-normaliza a 100%. Un componente sin dato ya no cuenta como cero. PPWR (sacos reutilizables, peso 4%) queda excluido mientras no tenga fuente de captura, y su cobertura se reporta aparte (MATRIZ_174, columna AQ).</w:t>
      </w:r>
    </w:p>
    <w:p>
      <w:pPr>
        <w:pStyle w:val="ListParagraph"/>
        <w:numPr>
          <w:ilvl w:val="0"/>
          <w:numId w:val="1"/>
        </w:numPr>
      </w:pPr>
      <w:r>
        <w:t>Regla sobre la base precensal (MATRIZ_174, 2026-10-15): los ceros que provenían de la falta de dato ya no se muestran como 0. La certificación se recodificó a SI/NO tomando el texto fuente —venía truncada a tres caracteres por el generador de la matriz—, y el score de certificación, el % UE/FOB, el FOB total y el de la Unión Europea y los indicadores P1–P14 aparecen como «—» cuando falta la fuente. Un cero medido —por ejemplo, una organización que exporta pero no a la Unión Europea— se conserva. Los índices derivados (IV1, IV4 e IP5) quedan también sin dato cuando su insumo lo está. Los cuatro casos de Comercio Justo que quedaban en revisión se resolvieron en la misma pasada: en tres de ellos la celda de origen contenía texto de certificación orgánica —no hay evidencia de Comercio Justo— y se mantienen en «sin dato»; el cuarto, AGUILAYOC, se recodificó a SI con la fuente del directorio de la JNC («Orgánica y Comercio Justo»).</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80" w:before="240"/>
        <w:jc w:val="both"/>
      </w:pPr>
      <w:r>
        <w:rPr>
          <w:rFonts w:ascii="Arial" w:cs="Arial" w:eastAsia="Arial" w:hAnsi="Arial"/>
          <w:b/>
          <w:bCs/>
          <w:sz w:val="22"/>
          <w:szCs w:val="22"/>
        </w:rPr>
        <w:t>2.6 Capa de ingesta: captura, codificación y normalización</w:t>
      </w:r>
    </w:p>
    <w:p>
      <w:pPr>
        <w:jc w:val="both"/>
      </w:pPr>
      <w:r>
        <w:rPr>
          <w:rFonts w:ascii="Arial" w:cs="Arial" w:eastAsia="Arial" w:hAnsi="Arial"/>
          <w:b w:val="false"/>
          <w:bCs w:val="false"/>
          <w:sz w:val="22"/>
          <w:szCs w:val="22"/>
        </w:rPr>
        <w:t>El Instrumento 2 se carga por una sola vía. La plantilla incorpora tres hojas que separan entrada, reglas y cálculo, de modo que el índice se recalcule solo al pegar las respuestas:</w:t>
      </w:r>
    </w:p>
    <w:p>
      <w:pPr>
        <w:pStyle w:val="ListParagraph"/>
        <w:numPr>
          <w:ilvl w:val="0"/>
          <w:numId w:val="1"/>
        </w:numPr>
      </w:pPr>
      <w:r>
        <w:rPr>
          <w:rFonts w:ascii="Arial" w:cs="Arial" w:eastAsia="Arial" w:hAnsi="Arial"/>
          <w:b w:val="false"/>
          <w:bCs w:val="false"/>
          <w:sz w:val="22"/>
          <w:szCs w:val="22"/>
        </w:rPr>
        <w:t>CAPTURA — una fila por cooperativa (las 174 del marco muestral, con RUC y razón social precargados) y una columna por pregunta. Trae lista desplegable en las 63 preguntas de opción, validación numérica en las 10 de escala y porcentaje, y celda libre en las 4 de casillas múltiples. Es la única hoja donde se escribe.</w:t>
      </w:r>
    </w:p>
    <w:p>
      <w:pPr>
        <w:pStyle w:val="ListParagraph"/>
        <w:numPr>
          <w:ilvl w:val="0"/>
          <w:numId w:val="1"/>
        </w:numPr>
      </w:pPr>
      <w:r>
        <w:rPr>
          <w:rFonts w:ascii="Arial" w:cs="Arial" w:eastAsia="Arial" w:hAnsi="Arial"/>
          <w:b w:val="false"/>
          <w:bCs w:val="false"/>
          <w:sz w:val="22"/>
          <w:szCs w:val="22"/>
        </w:rPr>
        <w:t>CODIFICACION — la tabla de codificación: opción de respuesta → puntaje 0-100 o «sin dato» (290 filas). Editable por diseño.</w:t>
      </w:r>
    </w:p>
    <w:p>
      <w:pPr>
        <w:pStyle w:val="ListParagraph"/>
        <w:numPr>
          <w:ilvl w:val="0"/>
          <w:numId w:val="1"/>
        </w:numPr>
      </w:pPr>
      <w:r>
        <w:t>NORMALIZADO — resultado automático: 0-100 por pregunta y el promedio de cada dimensión sobre las preguntas que efectivamente promedian (D1–D10; D11 es inventario y no promedia, y de D10 solo puntúa la asesoría EUDR, porque su certificación y su oferta de «certificación EUDR» son banderas). Las banderas y los mapeos no entran al promedio. Alimenta directo al motor ISCAM_Score. No se edita.</w:t>
      </w:r>
    </w:p>
    <w:p>
      <w:pPr>
        <w:jc w:val="both"/>
      </w:pPr>
      <w:r>
        <w:rPr>
          <w:rFonts w:ascii="Arial" w:cs="Arial" w:eastAsia="Arial" w:hAnsi="Arial"/>
          <w:b w:val="false"/>
          <w:bCs w:val="false"/>
          <w:sz w:val="22"/>
          <w:szCs w:val="22"/>
        </w:rPr>
        <w:t>La unión con el resto de la plantilla es por RUC, la misma clave de todo el sistema. Las preguntas de casillas múltiples se separan con «;»; las ramas condicionales quedan vacías cuando no aplican; y una respuesta no codificada se señala con «⚠» para que no pase inadvertida. La dimensión D3 combina la encuesta con la fuente externa: si no hay respuesta, conserva el valor de la consulta OSCE/OEFA.</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 xml:space="preserve">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ranking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 xml:space="preserve">Bootstrap (remuestreo repetido de los datos, B = 1000 repeticiones) para calcular un margen de error — un intervalo de confianza — alrededor del valor de ISA, IP, IV y RE de cada cooperativa y del ranking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Verificación programática del estado actual: 0 fórmulas inválidas en las 10 hojas del libro;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Reglas de integridad para quien cargue datos (todo se escribe en la hoja CAPTURA):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(implementada 2026-10-15). La tabla de codificación, la hoja de captura y la normalización están construidas y cableadas al motor (hojas CODIFICACION, CAPTURA y NORMALIZADO). Lo que resta es trabajo de campo: cargar las respuestas en CAPTURA. Cobertura de partida: D3 (legalidad OSCE/OEFA) 174/174; D1, D2 y D4–D11 sin dato hasta aplicar el instrumento; comercio exterior (% UE/FOB y FOB UE) 52/174; certificación verificada 22/174; D12–D15 por captura 0/174 —el proxy FAO/IPCC vigente se conserva en MATRIZ_174 y se reemplaza al levantar el Instrumento 2—. La consulta de legalidad OSCE/OEFA está completa para las 174 organizaciones (2026-10-15): 0 inhabilitaciones vigentes y 1 infracción ambiental OEFA.</w:t>
      </w:r>
    </w:p>
    <w:p>
      <w:pPr>
        <w:pStyle w:val="ListParagraph"/>
      </w:pPr>
      <w:r>
        <w:t>Codificación ratificada contra las fuentes del instrumento (2026-10-15). Los quince ítems «[R]» quedaron resueltos y la hoja CODIFICACION no conserva marcas pendientes. La consecuencia es de insumo, no de definición: los promedios de dimensión ahora excluyen banderas, mapeos y los bloques 0 y P, tal como el instrumento los define. La reconciliación completa, ítem por ítem, está en el registro de decisiones del proyecto.</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Reescribir IV1–IV5 con las definiciones de diseño una vez ingresado el instrumento (insumos ya capturados); IV4 aplica certificación (70/30) + agravante de legalidad 30% × (100 − D3). Mientras la certificación o el comercio exterior no tengan fuente, IV4 e IV1 se reportan como «—», no como 0: los 60 y 70 del diseño son supuestos de valor, no umbrales de ausencia.</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