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 semáforo, ranking y entradas manuales de D2, D5 y D6</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sin certificado → 70; con certificado → 30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 vigente de legalidad (D3 = 0);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25% · trazabilidad 20% · diligencia 15% · capacidad 10% · presión del comprador 15% · certificación 10% · envases/PPWR (Reglamento europeo de envases y residuos de envases) 5%.</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 83 / 10)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 xml:space="preserve">El radar promedia cada dimensión por departamento (11 dimensiones x 15 departamentos, más promedios muestrales). D2, D5 y D6 provienen de las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(carga del instrumento); D1, D3, D4 y D7–D11 del motor de cálculo. Sin dato se muestra como 0: la ausencia de dato no implica cumplimiento. Los promedios se alinean por organización dentro de la misma hoja para evitar desfases.</w:t>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del índice de Pacto Verde; indicador de validación externa, no insumo del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y texto libre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D2.10, D2.5b, D3.14i, D4.15a, D7.28, D10.36, D15.60; D5.19a, D7.28c, D11.38/39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promedian: se reportan por separado</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D6.25a → D6.25b; D7.28b → D7.28c.</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 xml:space="preserve">Umbral mínimo ISA-EUDR: 7 de 9 dimensiones con al menos el 70% de sus preguntas de escala respondidas; si no, la organización se reporta como "diagnóstico EUDR incompleto".</w:t>
      </w:r>
    </w:p>
    <w:p>
      <w:pPr>
        <w:pStyle w:val="ListParagraph"/>
        <w:numPr>
          <w:ilvl w:val="0"/>
          <w:numId w:val="1"/>
        </w:numPr>
      </w:pPr>
      <w:r>
        <w:rPr>
          <w:rFonts w:ascii="Arial" w:cs="Arial" w:eastAsia="Arial" w:hAnsi="Arial"/>
          <w:b w:val="false"/>
          <w:bCs w:val="false"/>
          <w:sz w:val="22"/>
          <w:szCs w:val="22"/>
        </w:rPr>
        <w:t xml:space="preserve">Umbral mínimo ISA-</w:t>
      </w:r>
      <w:r>
        <w:rPr>
          <w:rFonts w:ascii="Arial" w:cs="Arial" w:eastAsia="Arial" w:hAnsi="Arial"/>
          <w:b w:val="false"/>
          <w:bCs w:val="false"/>
          <w:sz w:val="22"/>
          <w:szCs w:val="22"/>
        </w:rPr>
        <w:t xml:space="preserve">PactoVerde</w:t>
      </w:r>
      <w:r>
        <w:rPr>
          <w:rFonts w:ascii="Arial" w:cs="Arial" w:eastAsia="Arial" w:hAnsi="Arial"/>
          <w:b w:val="false"/>
          <w:bCs w:val="false"/>
          <w:sz w:val="22"/>
          <w:szCs w:val="22"/>
        </w:rPr>
        <w:t xml:space="preserve">: 3 de 4 dimensiones Pacto Verde con al menos el 70% respondido.</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 xml:space="preserve">Regla operativa en la hoja de cálculo: sin dato se trata como 0 y el semáforo muestra "sin instrumento" —la ausencia de dato no implica cumplimiento—.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del índice de Pacto Verde (validación externa)</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 xml:space="preserve">Verificación programática del estado actual: 0 fórmulas inválidas en las 8 áreas de la hoja;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Reglas de integridad para quien cargue datos: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 xml:space="preserve">Capa de ingesta (único bloqueante del cálculo): tabla de codificación (0–4 a 0–100, categóricas ordinales, porcentaje directo) + carga con unión por RUC contra el marco muestral. El mapa de correspondencia es la guía; sin ella, las dimensiones sin fuente externa permanecen en 0.</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 xml:space="preserve">Reescribir IV1–IV5 con las definiciones de diseño una vez ingresado el instrumento (insumos ya capturados).</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