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 xml:space="preserve">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 xml:space="preserve">Este documento forma parte del proyecto ISCAM (Universidad del Pacífico): *El impacto del Pacto Verde Europeo en la performance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 (hoja INSTRUCCIONES)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 (hoja INSTRUMENTO_2_PREGUNTAS)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 (hoja 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(hoja MATRIZ_174)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score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 (hoja 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 semáforo, ranking y entradas manuales de D2, D5 y D6</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 (hoja ISCAM_Score)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 (hoja RADAR_BRECHAS)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(D7 + D9 + Certificación)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certificación: sin certificado → 70; con certificado → 30; + agravante de legalidad 30% × (100 − D3) cuando hay registro OSCE/OEFA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inhabilitación vigente confirmada (D3 = 0 con registro OSCE/OEFA); la ausencia de registro no activa la bandera;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20% · trazabilidad 16% · diligencia 12% · capacidad 8% · presión del comprador 12% · certificación 8% · envases/PPWR (Reglamento europeo de envases y residuos de envases) 4% · ambiental (D12–D15: huella de carbono, reporte de sostenibilidad, economía circular y fitosanitario) 20%.</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café / 83 cacao / 1 plátano / 10 sin dato)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El radar promedia cada dimensión por departamento (11 dimensiones × 15 territorios: 14 departamentos + fila OTROS). D2, D5 y D6 provienen de las scorecards (carga del instrumento); D1, D3, D4 y D7–D11 del motor de cálculo. Sin dato se muestra como «—» (celda gris), nunca como 0, y el promedio D1–D11 solo se calcula cuando hay 7 o más dimensiones capturadas: la ausencia de dato no implica incumplimiento. Los promedios se alinean por organización dentro de la misma hoja para evitar desfases.</w:t>
      </w:r>
      <w:r>
        <w:rPr>
          <w:rFonts w:ascii="Arial" w:cs="Arial" w:eastAsia="Arial" w:hAnsi="Arial"/>
          <w:b w:val="false"/>
          <w:bCs w:val="false"/>
          <w:sz w:val="22"/>
          <w:szCs w:val="22"/>
        </w:rPr>
      </w:r>
      <w:r>
        <w:rPr>
          <w:rFonts w:ascii="Arial" w:cs="Arial" w:eastAsia="Arial" w:hAnsi="Arial"/>
          <w:b w:val="false"/>
          <w:bCs w:val="false"/>
          <w:sz w:val="22"/>
          <w:szCs w:val="22"/>
        </w:rPr>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 IV4 = certificación (70/30) + agravante de legalidad 30% × (100 − D3)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(performance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r>
        <w:tc>
          <w:tcPr>
            <w:tcW w:type="dxa" w:w="2880"/>
          </w:tcPr>
          <w:p>
            <w:r>
              <w:t>Dato faltante: 0 frente a «—»</w:t>
            </w:r>
          </w:p>
        </w:tc>
        <w:tc>
          <w:tcPr>
            <w:tcW w:type="dxa" w:w="2880"/>
          </w:tcPr>
          <w:p>
            <w:r>
              <w:t>Sin dato se muestra «—» (nunca 0). ISA-EUDR, IP, RE, ISA-Completo, el promedio del radar y los semáforos quedan sin dato; la tipología pasa a «⬜ Pendiente de instrumento».</w:t>
            </w:r>
          </w:p>
        </w:tc>
        <w:tc>
          <w:tcPr>
            <w:tcW w:type="dxa" w:w="2880"/>
          </w:tcPr>
          <w:p>
            <w:r>
              <w:t>Un 0 donde no hay medición es un error de validez, no una estimación conservadora: la plantilla tenía 10 de 11 dimensiones ISA en 0 y eso rotulaba 158 organizaciones como «Riesgo Crítico» sin haberlas medido. El umbral §2.4 (7 de 9) evita computar índices parciales. Actualizado 2026-10-15.</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para validación externa del índice; no son insumo de ISA-EUDR ni de ISA-PV</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 (salvo R3 y R7: conteo y monto)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e inventario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puras (no promedian): D10.36, D10.37, D10.36a · Inventario (no promedia): D11.38, D11.39, D11.39a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reportan aparte. Además D2.10, D2.5b, D3.14i y D4.15a puntúan su dimensión y activan bandera</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D6.22a → D6.22b; D6.25a → D6.25b; D7.28b → D7.28c.</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Umbral mínimo ISA-EUDR: 7 de 9 dimensiones (D1–D9) con dato; si no se alcanza, ISA-EUDR, ISA-Completo y RE se reportan como «—» (sin dato) —el diagnóstico EUDR queda incompleto—, nunca como 0. Umbral mínimo de IP: las 8 dimensiones D2–D9, porque cada subíndice IP1–IP5 depende de un conjunto fijo de dimensiones.</w:t>
      </w:r>
    </w:p>
    <w:p>
      <w:pPr>
        <w:pStyle w:val="ListParagraph"/>
        <w:numPr>
          <w:ilvl w:val="0"/>
          <w:numId w:val="1"/>
        </w:numPr>
      </w:pPr>
      <w:r>
        <w:rPr>
          <w:rFonts w:ascii="Arial" w:cs="Arial" w:eastAsia="Arial" w:hAnsi="Arial"/>
          <w:b w:val="false"/>
          <w:bCs w:val="false"/>
          <w:sz w:val="22"/>
          <w:szCs w:val="22"/>
        </w:rPr>
        <w:t xml:space="preserve">Umbral mínimo ISA-</w:t>
      </w:r>
      <w:r>
        <w:rPr>
          <w:rFonts w:ascii="Arial" w:cs="Arial" w:eastAsia="Arial" w:hAnsi="Arial"/>
          <w:b w:val="false"/>
          <w:bCs w:val="false"/>
          <w:sz w:val="22"/>
          <w:szCs w:val="22"/>
        </w:rPr>
        <w:t xml:space="preserve">PactoVerde</w:t>
      </w:r>
      <w:r>
        <w:rPr>
          <w:rFonts w:ascii="Arial" w:cs="Arial" w:eastAsia="Arial" w:hAnsi="Arial"/>
          <w:b w:val="false"/>
          <w:bCs w:val="false"/>
          <w:sz w:val="22"/>
          <w:szCs w:val="22"/>
        </w:rPr>
        <w:t xml:space="preserve">: 3 de 4 dimensiones Pacto Verde con al menos el 70% respondido.</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Regla operativa en la hoja de cálculo (2026-10-15): sin dato se muestra como «—» y nunca como 0. El semáforo de las scorecards indica «— Sin Inst.2», la clasificación del PVE «⬜ Parcial · Inst. 2 pendiente» y la tipología «⬜ Pendiente de instrumento» mientras el Instrumento 2 no se levante. La ausencia de dato no se convierte en una medición: no implica cumplimiento, pero tampoco debe leerse como incumplimiento. El panel de cobertura por dimensión está en ISCAM_Score (a partir de la fila 182).</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(validación externa del índice)</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 xml:space="preserve">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ranking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 xml:space="preserve">Bootstrap (remuestreo repetido de los datos, B = 1000 repeticiones) para calcular un margen de error — un intervalo de confianza — alrededor del valor de ISA, IP, IV y RE de cada cooperativa y del ranking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 xml:space="preserve">Verificación programática del estado actual: 0 fórmulas inválidas en las 7 áreas de la hoja;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Reglas de integridad para quien cargue datos: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Capa de ingesta (único bloqueante del cálculo): tabla de codificación (0–4 a 0–100, categóricas ordinales, porcentaje directo) + carga con unión por RUC contra el marco muestral. El mapa de correspondencia es la guía; sin ella, las dimensiones sin fuente externa permanecen sin dato («—») y no computan el índice. Cobertura actual: D3 (legalidad OSCE/OEFA) 174/174; D1, D2, D4–D11 sin dato; D12 45/174; certificación 3/174. Consulta de legalidad OSCE/OEFA completada para las 174 organizaciones (2026-10-15): 0 inhabilitaciones vigentes y 1 infracción ambiental OEFA.</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 xml:space="preserve">Reescribir IV1–IV5 con las definiciones de diseño una vez ingresado el instrumento (insumos ya capturados); IV4 aplica certificación (70/30) + agravante de legalidad 30% × (100 − D3).</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