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ranking;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(D7 + D9 + Certificación)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t>Sin dato se muestra «—» (nunca 0). ISA-EUDR, IP, RE, ISA-Completo, el promedio del radar y los semáforos quedan sin dato; la tipología pasa a «⬜ Pendiente de instrumento».</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rPr>
          <w:rFonts w:ascii="Arial" w:cs="Arial" w:eastAsia="Arial" w:hAnsi="Arial"/>
          <w:b w:val="false"/>
          <w:bCs w:val="false"/>
          <w:sz w:val="22"/>
          <w:szCs w:val="22"/>
        </w:rP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y, en destinos de exportación, por la proporción de destinos de la Unión Europea. Las opciones que expresan desconocimiento o no aplicación («No sabe», «No verifica», «No se ha medido», «No aplica») se codifican como «sin dato» y no promedian: la ausencia de respuesta nunca se convierte en incumplimiento. La tabla es editable y marca con «[R]» los ítems cuyo sentido conviene ratificar con el autor antes del levantamiento.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Umbral mínimo ISA-PactoVerde: 3 de las 4 dimensiones Pacto Verde (D12–D15) con dato; por debajo del umbral, ISA-PactoVerde y el promedio PVE se reportan como «—» (sin dato), nunca como 0 —un valor calculado sobre una sola dimensión sería una medición falsa—. Por encima del umbral el índice se computa solo sobre los componentes con dato, re-normalizando las ponderaciones. El umbral se evalúa sobre la captura (hoja NORMALIZADO), no sobre el proxy precensal.</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 Parcial · Inst. 2 pendiente»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pStyle w:val="ListParagraph"/>
        <w:numPr>
          <w:ilvl w:val="0"/>
          <w:numId w:val="1"/>
        </w:numPr>
      </w:pPr>
      <w:r>
        <w:rPr>
          <w:rFonts w:ascii="Arial" w:cs="Arial" w:eastAsia="Arial" w:hAnsi="Arial"/>
          <w:b w:val="false"/>
          <w:bCs w:val="false"/>
          <w:sz w:val="22"/>
          <w:szCs w:val="22"/>
        </w:rPr>
        <w:t>Regla sobre la base precensal (MATRIZ_174, 2026-10-15): los ceros que provenían de la falta de dato ya no se muestran como 0. La certificación se recodificó a SI/NO tomando el texto fuente —venía truncada a tres caracteres por el generador de la matriz—, y el score de certificación, el % UE/FOB, el FOB total y el de la Unión Europea y los indicadores P1–P14 aparecen como «—» cuando falta la fuente. Un cero medido —por ejemplo, una organización que exporta pero no a la Unión Europea— se conserva. Los índices derivados (IV1, IV4 e IP5) quedan también sin dato cuando su insumo lo está.</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rPr>
          <w:rFonts w:ascii="Arial" w:cs="Arial" w:eastAsia="Arial" w:hAnsi="Arial"/>
          <w:b w:val="false"/>
          <w:bCs w:val="false"/>
          <w:sz w:val="22"/>
          <w:szCs w:val="22"/>
        </w:rPr>
        <w:t>NORMALIZADO — resultado automático: 0-100 por pregunta y el agregado de las 11 dimensiones (D1–D11), que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y D4–D11 sin dato hasta aplicar el instrumento; comercio exterior (% UE/FOB y FOB UE) 52/174; certificación verificada 22/174; D12–D15 por captura 0/174 —el proxy FAO/IPCC vigente se conserva en MATRIZ_174 y se reemplaza al levantar el Instrumento 2—. La consulta de legalidad OSCE/OEFA está completa para las 174 organizaciones (2026-10-15): 0 inhabilitaciones vigentes y 1 infracción ambiental OEFA.</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Reescribir IV1–IV5 con las definiciones de diseño una vez ingresado el instrumento (insumos ya capturados); IV4 aplica certificación (70/30) + agravante de legalidad 30% × (100 − D3). Mientras la certificación o el comercio exterior no tengan fuente, IV4 e IV1 se reportan como «—», no como 0: los 60 y 70 del diseño son supuestos de valor, no umbrales de ausencia.</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