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CAFETALERA LA FLORIDA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20140181405  |  FOB 2024-2025: US$ 4,117,387  |  Items DUA: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35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595,245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39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2010–2025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marca=0, lote=1, contrato=0</w:t>
            </w:r>
            <w:r>
              <w:rPr>
                <w:b w:val="0"/>
                <w:i w:val="0"/>
                <w:sz w:val="14"/>
              </w:rPr>
              <w:t>DUA: marca=0, lote=1,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1%</w:t>
            </w:r>
            <w:r>
              <w:rPr>
                <w:b/>
                <w:i w:val="0"/>
                <w:color w:val="EF6C00"/>
                <w:sz w:val="18"/>
              </w:rPr>
              <w:t>1%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431 ops, 19 países</w:t>
            </w:r>
            <w:r>
              <w:rPr>
                <w:b w:val="0"/>
                <w:i w:val="0"/>
                <w:sz w:val="14"/>
              </w:rPr>
              <w:t>431 ops, 19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Org:30 FT:0 RF:0 UTZ:0</w:t>
            </w:r>
            <w:r>
              <w:rPr>
                <w:b w:val="0"/>
                <w:i w:val="0"/>
                <w:sz w:val="14"/>
              </w:rPr>
              <w:t>Org:30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38%</w:t>
            </w:r>
            <w:r>
              <w:rPr>
                <w:b/>
                <w:i w:val="0"/>
                <w:color w:val="2E7D32"/>
                <w:sz w:val="18"/>
              </w:rPr>
              <w:t>38%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US$ 4,117,387</w:t>
            </w:r>
            <w:r>
              <w:rPr>
                <w:b w:val="0"/>
                <w:i w:val="0"/>
                <w:sz w:val="14"/>
              </w:rPr>
              <w:t>US$ 4,117,387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37 items (94.9%)</w:t>
            </w:r>
            <w:r>
              <w:rPr>
                <w:b w:val="0"/>
                <w:i w:val="0"/>
                <w:sz w:val="16"/>
              </w:rPr>
              <w:t>37 items (94.9%)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11 items (28.2%)</w:t>
            </w:r>
            <w:r>
              <w:rPr>
                <w:b w:val="0"/>
                <w:i w:val="0"/>
                <w:sz w:val="16"/>
              </w:rPr>
              <w:t>11 items (28.2%)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1 items (2.6%)</w:t>
            </w:r>
            <w:r>
              <w:rPr>
                <w:b w:val="0"/>
                <w:i w:val="0"/>
                <w:sz w:val="16"/>
              </w:rPr>
              <w:t>1 items (2.6%)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30 items (76.9%)</w:t>
            </w:r>
            <w:r>
              <w:rPr>
                <w:b w:val="0"/>
                <w:i w:val="0"/>
                <w:sz w:val="16"/>
              </w:rPr>
              <w:t>30 items (76.9%)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0 | Lote: 1 | Contrato: 0</w:t>
            </w:r>
            <w:r>
              <w:rPr>
                <w:b w:val="0"/>
                <w:i w:val="0"/>
                <w:sz w:val="16"/>
              </w:rPr>
              <w:t>Marca: 0 | Lote: 1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