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Metodología — Instrumento 2 (preguntas) e Índice ISCAM</w:t>
      </w:r>
    </w:p>
    <w:p>
      <w:pPr>
        <w:jc w:val="center"/>
      </w:pPr>
      <w:r>
        <w:rPr>
          <w:color w:val="595959"/>
          <w:sz w:val="24"/>
        </w:rPr>
        <w:t>Café y cacao · 174 organizaciones · Instrumento v0.4 · 14 de octubre de 2026</w:t>
      </w:r>
    </w:p>
    <w:p>
      <w:pPr>
        <w:spacing w:after="120"/>
      </w:pPr>
    </w:p>
    <w:p>
      <w:pPr>
        <w:spacing w:after="120"/>
      </w:pPr>
      <w:r>
        <w:rPr>
          <w:b/>
        </w:rPr>
        <w:t>Qué documenta este documento:</w:t>
      </w:r>
      <w:r>
        <w:rPr>
          <w:b w:val="0"/>
        </w:rPr>
        <w:t xml:space="preserve"> el diseño de las 119 preguntas del Instrumento 2 (versión 0.4) — cómo se construyeron, qué escala usa cada una, cómo se evita el sesgo hacia el café y a qué celda del índice alimenta cada respuesta — y la metodología del índice implementado en la hoja de cálculo `PLANTILLA_INDICE_PVE_ISCAM.xlsx` (ISA-EUDR, ISA-PactoVerde, ISA-Completo, IP, IV, RE, tipología 2x2, semáforos, índice PVE y radar departamental).</w:t>
      </w:r>
    </w:p>
    <w:p>
      <w:pPr>
        <w:spacing w:after="120"/>
      </w:pPr>
      <w:r>
        <w:rPr>
          <w:b/>
        </w:rPr>
        <w:t>Estado al 2026-10-14:</w:t>
      </w:r>
      <w:r>
        <w:rPr>
          <w:b w:val="0"/>
        </w:rPr>
        <w:t xml:space="preserve"> instrumento listo para cargar en Google Forms (QA automatizado aprobado); hoja de cálculo con las fórmulas corregidas y verificadas sobre las 174 organizaciones; documentación de metodología y de implementación sincronizadas (Word + markdown). Pendiente único: la capa de ingesta de respuestas (join por RUC + codificación 0-4 a 0-100), que se activa con la primera ronda de datos reales.</w:t>
      </w:r>
    </w:p>
    <w:p>
      <w:pPr>
        <w:spacing w:after="120"/>
      </w:pPr>
      <w:r>
        <w:rPr>
          <w:b/>
        </w:rPr>
        <w:t>Archivos que componen el sistema:</w:t>
      </w:r>
    </w:p>
    <w:p>
      <w:pPr>
        <w:pStyle w:val="ListBullet"/>
        <w:spacing w:after="60"/>
      </w:pPr>
      <w:r>
        <w:rPr>
          <w:b w:val="0"/>
          <w:sz w:val="20"/>
        </w:rPr>
        <w:t>`Instrumentos\Texto para Google Form - Instrumento 2.md` —las 119 preguntas listas para pegar en Google Forms (v0.4).</w:t>
      </w:r>
    </w:p>
    <w:p>
      <w:pPr>
        <w:pStyle w:val="ListBullet"/>
        <w:spacing w:after="60"/>
      </w:pPr>
      <w:r>
        <w:rPr>
          <w:b w:val="0"/>
          <w:sz w:val="20"/>
        </w:rPr>
        <w:t>`Instrumentos\Estructura Google Sheet - Respuestas Instrumento 2.md` — las 139 columnas de la Sheet de respuestas, de `A` a `EI`.</w:t>
      </w:r>
    </w:p>
    <w:p>
      <w:pPr>
        <w:pStyle w:val="ListBullet"/>
        <w:spacing w:after="60"/>
      </w:pPr>
      <w:r>
        <w:rPr>
          <w:b w:val="0"/>
          <w:sz w:val="20"/>
        </w:rPr>
        <w:t>`PLANTILLA_INDICE_PVE_ISCAM.xlsx` — 8 pestañas, incluida `INSTRUMENTO_2_PREGUNTAS` (mapa pregunta a celda destino).</w:t>
      </w:r>
    </w:p>
    <w:p>
      <w:pPr>
        <w:pStyle w:val="ListBullet"/>
        <w:spacing w:after="60"/>
      </w:pPr>
      <w:r>
        <w:rPr>
          <w:b w:val="0"/>
          <w:sz w:val="20"/>
        </w:rPr>
        <w:t>`ISCAM\Metodologia - Indice de Alineamiento (ISA) y Marco Muestral.md` / `.docx` — metodología del ISA, marco muestral, calibración y robustez.</w:t>
      </w:r>
    </w:p>
    <w:p>
      <w:pPr>
        <w:pStyle w:val="ListBullet"/>
        <w:spacing w:after="60"/>
      </w:pPr>
      <w:r>
        <w:rPr>
          <w:b w:val="0"/>
          <w:sz w:val="20"/>
        </w:rPr>
        <w:t>`ISCAM\Sistema de Indices ISCAM - ISA-IP-IV-RE-AHP.md`, `Remapeo D1-D9 a IP`, `Diseno - Indice de Vulnerabilidad (IV-ISCAM).md`, `Comparativa - ISA vs IP-IV-RE`, `Propuesta ISCAM - Indices IP-IV-RE.docx` — el sistema de índices del proyecto madre.</w:t>
      </w:r>
    </w:p>
    <w:p>
      <w:r>
        <w:br w:type="page"/>
      </w:r>
    </w:p>
    <w:p>
      <w:pPr>
        <w:pStyle w:val="Heading1"/>
      </w:pPr>
      <w:r>
        <w:t>1. Las preguntas: arquitectura y diseño</w:t>
      </w:r>
    </w:p>
    <w:p>
      <w:pPr>
        <w:pStyle w:val="Heading2"/>
      </w:pPr>
      <w:r>
        <w:t>1.1 Arquitectura del instrumento</w:t>
      </w:r>
    </w:p>
    <w:p>
      <w:pPr>
        <w:spacing w:after="120"/>
      </w:pPr>
      <w:r>
        <w:rPr>
          <w:b w:val="0"/>
        </w:rPr>
        <w:t>El Instrumento 2 es una encuesta organizacional (una fila por cooperativa) con 119 preguntas distribuidas en siete bloques. Cada bloque tiene un rol definido en el índice; ningún bloque puntúa dos veces.</w:t>
      </w:r>
    </w:p>
    <w:tbl>
      <w:tblPr>
        <w:tblStyle w:val="TableGrid"/>
        <w:tblW w:type="auto" w:w="0"/>
        <w:tblLook w:firstColumn="1" w:firstRow="1" w:lastColumn="0" w:lastRow="0" w:noHBand="0" w:noVBand="1" w:val="04A0"/>
      </w:tblPr>
      <w:tblGrid>
        <w:gridCol w:w="2880"/>
        <w:gridCol w:w="2880"/>
        <w:gridCol w:w="2880"/>
      </w:tblGrid>
      <w:tr>
        <w:tc>
          <w:tcPr>
            <w:tcW w:type="dxa" w:w="3175"/>
            <w:shd w:val="clear" w:fill="D9E2F3"/>
          </w:tcPr>
          <w:p>
            <w:r>
              <w:rPr>
                <w:b/>
              </w:rPr>
            </w:r>
            <w:r>
              <w:rPr>
                <w:b/>
                <w:sz w:val="18"/>
              </w:rPr>
              <w:t>Bloque</w:t>
            </w:r>
          </w:p>
        </w:tc>
        <w:tc>
          <w:tcPr>
            <w:tcW w:type="dxa" w:w="1020"/>
            <w:shd w:val="clear" w:fill="D9E2F3"/>
          </w:tcPr>
          <w:p>
            <w:r>
              <w:rPr>
                <w:b/>
              </w:rPr>
            </w:r>
            <w:r>
              <w:rPr>
                <w:b/>
                <w:sz w:val="18"/>
              </w:rPr>
              <w:t>Preguntas</w:t>
            </w:r>
          </w:p>
        </w:tc>
        <w:tc>
          <w:tcPr>
            <w:tcW w:type="dxa" w:w="5329"/>
            <w:shd w:val="clear" w:fill="D9E2F3"/>
          </w:tcPr>
          <w:p>
            <w:r>
              <w:rPr>
                <w:b/>
              </w:rPr>
            </w:r>
            <w:r>
              <w:rPr>
                <w:b/>
                <w:sz w:val="18"/>
              </w:rPr>
              <w:t>Rol en el índice</w:t>
            </w:r>
          </w:p>
        </w:tc>
      </w:tr>
      <w:tr>
        <w:tc>
          <w:tcPr>
            <w:tcW w:type="dxa" w:w="3175"/>
          </w:tcPr>
          <w:p>
            <w:r/>
            <w:r>
              <w:rPr>
                <w:b w:val="0"/>
                <w:sz w:val="18"/>
              </w:rPr>
              <w:t>Metadata de campo</w:t>
            </w:r>
          </w:p>
        </w:tc>
        <w:tc>
          <w:tcPr>
            <w:tcW w:type="dxa" w:w="1020"/>
          </w:tcPr>
          <w:p>
            <w:r/>
            <w:r>
              <w:rPr>
                <w:b w:val="0"/>
                <w:sz w:val="18"/>
              </w:rPr>
              <w:t>3</w:t>
            </w:r>
          </w:p>
        </w:tc>
        <w:tc>
          <w:tcPr>
            <w:tcW w:type="dxa" w:w="5329"/>
          </w:tcPr>
          <w:p>
            <w:r/>
            <w:r>
              <w:rPr>
                <w:b w:val="0"/>
                <w:sz w:val="18"/>
              </w:rPr>
              <w:t>Auditoría de aplicación (fecha, encuestador, canal) — columnas D/E/F de la Sheet</w:t>
            </w:r>
          </w:p>
        </w:tc>
      </w:tr>
      <w:tr>
        <w:tc>
          <w:tcPr>
            <w:tcW w:type="dxa" w:w="3175"/>
          </w:tcPr>
          <w:p>
            <w:r/>
            <w:r>
              <w:rPr>
                <w:b w:val="0"/>
                <w:sz w:val="18"/>
              </w:rPr>
              <w:t>Bloque 0 — Ficha de identificación (B0.1–B0.17)</w:t>
            </w:r>
          </w:p>
        </w:tc>
        <w:tc>
          <w:tcPr>
            <w:tcW w:type="dxa" w:w="1020"/>
          </w:tcPr>
          <w:p>
            <w:r/>
            <w:r>
              <w:rPr>
                <w:b w:val="0"/>
                <w:sz w:val="18"/>
              </w:rPr>
              <w:t>17</w:t>
            </w:r>
          </w:p>
        </w:tc>
        <w:tc>
          <w:tcPr>
            <w:tcW w:type="dxa" w:w="5329"/>
          </w:tcPr>
          <w:p>
            <w:r/>
            <w:r>
              <w:rPr>
                <w:b w:val="0"/>
                <w:sz w:val="18"/>
              </w:rPr>
              <w:t>Marco muestral (nombre, RUC, producto, socios, hectáreas, departamento, tipo de organización) + insumos de vulnerabilidad IV1–IV5</w:t>
            </w:r>
          </w:p>
        </w:tc>
      </w:tr>
      <w:tr>
        <w:tc>
          <w:tcPr>
            <w:tcW w:type="dxa" w:w="3175"/>
          </w:tcPr>
          <w:p>
            <w:r/>
            <w:r>
              <w:rPr>
                <w:b w:val="0"/>
                <w:sz w:val="18"/>
              </w:rPr>
              <w:t>Bloque P — Performance comercial (P1–P14, P1b)</w:t>
            </w:r>
          </w:p>
        </w:tc>
        <w:tc>
          <w:tcPr>
            <w:tcW w:type="dxa" w:w="1020"/>
          </w:tcPr>
          <w:p>
            <w:r/>
            <w:r>
              <w:rPr>
                <w:b w:val="0"/>
                <w:sz w:val="18"/>
              </w:rPr>
              <w:t>15</w:t>
            </w:r>
          </w:p>
        </w:tc>
        <w:tc>
          <w:tcPr>
            <w:tcW w:type="dxa" w:w="5329"/>
          </w:tcPr>
          <w:p>
            <w:r/>
            <w:r>
              <w:rPr>
                <w:b w:val="0"/>
                <w:sz w:val="18"/>
              </w:rPr>
              <w:t>Variable dependiente del objetivo (f) del proyecto madre; validación externa del índice; insumo de IV1. No puntúa dimensiones ISCAM</w:t>
            </w:r>
          </w:p>
        </w:tc>
      </w:tr>
      <w:tr>
        <w:tc>
          <w:tcPr>
            <w:tcW w:type="dxa" w:w="3175"/>
          </w:tcPr>
          <w:p>
            <w:r/>
            <w:r>
              <w:rPr>
                <w:b w:val="0"/>
                <w:sz w:val="18"/>
              </w:rPr>
              <w:t>D1–D11 (dimensiones EUDR)</w:t>
            </w:r>
          </w:p>
        </w:tc>
        <w:tc>
          <w:tcPr>
            <w:tcW w:type="dxa" w:w="1020"/>
          </w:tcPr>
          <w:p>
            <w:r/>
            <w:r>
              <w:rPr>
                <w:b w:val="0"/>
                <w:sz w:val="18"/>
              </w:rPr>
              <w:t>68</w:t>
            </w:r>
          </w:p>
        </w:tc>
        <w:tc>
          <w:tcPr>
            <w:tcW w:type="dxa" w:w="5329"/>
          </w:tcPr>
          <w:p>
            <w:r/>
            <w:r>
              <w:rPr>
                <w:b w:val="0"/>
                <w:sz w:val="18"/>
              </w:rPr>
              <w:t>Dimensiones ISCAM: columnas `E`–`O` de `ISCAM_Score`. D10 es bandera y D11 inventario: se reportan aparte, no promedian</w:t>
            </w:r>
          </w:p>
        </w:tc>
      </w:tr>
      <w:tr>
        <w:tc>
          <w:tcPr>
            <w:tcW w:type="dxa" w:w="3175"/>
          </w:tcPr>
          <w:p>
            <w:r/>
            <w:r>
              <w:rPr>
                <w:b w:val="0"/>
                <w:sz w:val="18"/>
              </w:rPr>
              <w:t>Pacto Verde — versión mínima (D12.42, D13.45, D14.51, D15.58)</w:t>
            </w:r>
          </w:p>
        </w:tc>
        <w:tc>
          <w:tcPr>
            <w:tcW w:type="dxa" w:w="1020"/>
          </w:tcPr>
          <w:p>
            <w:r/>
            <w:r>
              <w:rPr>
                <w:b w:val="0"/>
                <w:sz w:val="18"/>
              </w:rPr>
              <w:t>4</w:t>
            </w:r>
          </w:p>
        </w:tc>
        <w:tc>
          <w:tcPr>
            <w:tcW w:type="dxa" w:w="5329"/>
          </w:tcPr>
          <w:p>
            <w:r/>
            <w:r>
              <w:rPr>
                <w:b w:val="0"/>
                <w:sz w:val="18"/>
              </w:rPr>
              <w:t>ISA-PV (`AI`), 30% de ISA-Completo, vía `MATRIZ_174!W:Z`</w:t>
            </w:r>
          </w:p>
        </w:tc>
      </w:tr>
      <w:tr>
        <w:tc>
          <w:tcPr>
            <w:tcW w:type="dxa" w:w="3175"/>
          </w:tcPr>
          <w:p>
            <w:r/>
            <w:r>
              <w:rPr>
                <w:b w:val="0"/>
                <w:sz w:val="18"/>
              </w:rPr>
              <w:t>PPWR — Envases (PP1–PP2)</w:t>
            </w:r>
          </w:p>
        </w:tc>
        <w:tc>
          <w:tcPr>
            <w:tcW w:type="dxa" w:w="1020"/>
          </w:tcPr>
          <w:p>
            <w:r/>
            <w:r>
              <w:rPr>
                <w:b w:val="0"/>
                <w:sz w:val="18"/>
              </w:rPr>
              <w:t>2</w:t>
            </w:r>
          </w:p>
        </w:tc>
        <w:tc>
          <w:tcPr>
            <w:tcW w:type="dxa" w:w="5329"/>
          </w:tcPr>
          <w:p>
            <w:r/>
            <w:r>
              <w:rPr>
                <w:b w:val="0"/>
                <w:sz w:val="18"/>
              </w:rPr>
              <w:t>Ponderador PPWR del índice PVE (`PONDERADORES!A18`, 5%) y `SCORECARDS!M`</w:t>
            </w:r>
          </w:p>
        </w:tc>
      </w:tr>
      <w:tr>
        <w:tc>
          <w:tcPr>
            <w:tcW w:type="dxa" w:w="3175"/>
          </w:tcPr>
          <w:p>
            <w:r/>
            <w:r>
              <w:rPr>
                <w:b w:val="0"/>
                <w:sz w:val="18"/>
              </w:rPr>
              <w:t>Bloque R — Indicadores PVE (R1–R10)</w:t>
            </w:r>
          </w:p>
        </w:tc>
        <w:tc>
          <w:tcPr>
            <w:tcW w:type="dxa" w:w="1020"/>
          </w:tcPr>
          <w:p>
            <w:r/>
            <w:r>
              <w:rPr>
                <w:b w:val="0"/>
                <w:sz w:val="18"/>
              </w:rPr>
              <w:t>10</w:t>
            </w:r>
          </w:p>
        </w:tc>
        <w:tc>
          <w:tcPr>
            <w:tcW w:type="dxa" w:w="5329"/>
          </w:tcPr>
          <w:p>
            <w:r/>
            <w:r>
              <w:rPr>
                <w:b w:val="0"/>
                <w:sz w:val="18"/>
              </w:rPr>
              <w:t>Columnas `AC, AE–AN` de `MATRIZ_174` → `P_Global`; indicador de validación externa, no insumo del índice</w:t>
            </w:r>
          </w:p>
        </w:tc>
      </w:tr>
      <w:tr>
        <w:tc>
          <w:tcPr>
            <w:tcW w:type="dxa" w:w="3175"/>
          </w:tcPr>
          <w:p>
            <w:r/>
            <w:r>
              <w:rPr>
                <w:b/>
                <w:sz w:val="18"/>
              </w:rPr>
              <w:t>Total</w:t>
            </w:r>
          </w:p>
        </w:tc>
        <w:tc>
          <w:tcPr>
            <w:tcW w:type="dxa" w:w="1020"/>
          </w:tcPr>
          <w:p>
            <w:r/>
            <w:r>
              <w:rPr>
                <w:b/>
                <w:sz w:val="18"/>
              </w:rPr>
              <w:t>119</w:t>
            </w:r>
          </w:p>
        </w:tc>
        <w:tc>
          <w:tcPr>
            <w:tcW w:type="dxa" w:w="5329"/>
          </w:tcPr>
          <w:p>
            <w:r/>
            <w:r>
              <w:rPr>
                <w:b w:val="0"/>
                <w:sz w:val="18"/>
              </w:rPr>
              <w:t>3 metadata + 116 de instrumento</w:t>
            </w:r>
          </w:p>
        </w:tc>
      </w:tr>
    </w:tbl>
    <w:p>
      <w:pPr>
        <w:spacing w:after="40"/>
      </w:pPr>
    </w:p>
    <w:p>
      <w:pPr>
        <w:spacing w:after="120"/>
      </w:pPr>
      <w:r>
        <w:rPr>
          <w:b w:val="0"/>
        </w:rPr>
        <w:t>La versión 0.4 (14-10-2026) agregó 30 preguntas y modificó 5, cerrando los huecos de correspondencia con la hoja de cálculo detectados en un análisis inverso pregunta por pregunta. El detalle de cada pregunta con su celda destino está en la pestaña `INSTRUMENTO_2_PREGUNTAS` de la hoja de cálculo (119 filas, filtradas por bloque) y en el Anexo v0.4 del documento del Form.</w:t>
      </w:r>
    </w:p>
    <w:p>
      <w:pPr>
        <w:pStyle w:val="Heading2"/>
      </w:pPr>
      <w:r>
        <w:t>1.2 Escalas, codificación y ramas</w:t>
      </w:r>
    </w:p>
    <w:tbl>
      <w:tblPr>
        <w:tblStyle w:val="TableGrid"/>
        <w:tblW w:type="auto" w:w="0"/>
        <w:tblLook w:firstColumn="1" w:firstRow="1" w:lastColumn="0" w:lastRow="0" w:noHBand="0" w:noVBand="1" w:val="04A0"/>
      </w:tblPr>
      <w:tblGrid>
        <w:gridCol w:w="2880"/>
        <w:gridCol w:w="2880"/>
        <w:gridCol w:w="2880"/>
      </w:tblGrid>
      <w:tr>
        <w:tc>
          <w:tcPr>
            <w:tcW w:type="dxa" w:w="3628"/>
            <w:shd w:val="clear" w:fill="D9E2F3"/>
          </w:tcPr>
          <w:p>
            <w:r>
              <w:rPr>
                <w:b/>
              </w:rPr>
            </w:r>
            <w:r>
              <w:rPr>
                <w:b/>
                <w:sz w:val="18"/>
              </w:rPr>
              <w:t>Escala</w:t>
            </w:r>
          </w:p>
        </w:tc>
        <w:tc>
          <w:tcPr>
            <w:tcW w:type="dxa" w:w="2835"/>
            <w:shd w:val="clear" w:fill="D9E2F3"/>
          </w:tcPr>
          <w:p>
            <w:r>
              <w:rPr>
                <w:b/>
              </w:rPr>
            </w:r>
            <w:r>
              <w:rPr>
                <w:b/>
                <w:sz w:val="18"/>
              </w:rPr>
              <w:t>Dónde se usa</w:t>
            </w:r>
          </w:p>
        </w:tc>
        <w:tc>
          <w:tcPr>
            <w:tcW w:type="dxa" w:w="3061"/>
            <w:shd w:val="clear" w:fill="D9E2F3"/>
          </w:tcPr>
          <w:p>
            <w:r>
              <w:rPr>
                <w:b/>
              </w:rPr>
            </w:r>
            <w:r>
              <w:rPr>
                <w:b/>
                <w:sz w:val="18"/>
              </w:rPr>
              <w:t>Conversión al índice</w:t>
            </w:r>
          </w:p>
        </w:tc>
      </w:tr>
      <w:tr>
        <w:tc>
          <w:tcPr>
            <w:tcW w:type="dxa" w:w="3628"/>
          </w:tcPr>
          <w:p>
            <w:r/>
            <w:r>
              <w:rPr>
                <w:b w:val="0"/>
                <w:sz w:val="18"/>
              </w:rPr>
              <w:t>Ordinal 0–4 con leyenda única (0 = No existe/No sabe · 1 = Informal o parcial · 2 = En desarrollo · 3 = Implementado · 4 = Implementado y verificado/auditado)</w:t>
            </w:r>
          </w:p>
        </w:tc>
        <w:tc>
          <w:tcPr>
            <w:tcW w:type="dxa" w:w="2835"/>
          </w:tcPr>
          <w:p>
            <w:r/>
            <w:r>
              <w:rPr>
                <w:b w:val="0"/>
                <w:sz w:val="18"/>
              </w:rPr>
              <w:t>D2.5, D2.7, D3.13, D4.16, D5.18, D5.18a, D8.29</w:t>
            </w:r>
          </w:p>
        </w:tc>
        <w:tc>
          <w:tcPr>
            <w:tcW w:type="dxa" w:w="3061"/>
          </w:tcPr>
          <w:p>
            <w:r/>
            <w:r>
              <w:rPr>
                <w:b w:val="0"/>
                <w:sz w:val="18"/>
              </w:rPr>
              <w:t>x25 → escala 0–100</w:t>
            </w:r>
          </w:p>
        </w:tc>
      </w:tr>
      <w:tr>
        <w:tc>
          <w:tcPr>
            <w:tcW w:type="dxa" w:w="3628"/>
          </w:tcPr>
          <w:p>
            <w:r/>
            <w:r>
              <w:rPr>
                <w:b w:val="0"/>
                <w:sz w:val="18"/>
              </w:rPr>
              <w:t>Tres niveles 0 / 1 / 2</w:t>
            </w:r>
          </w:p>
        </w:tc>
        <w:tc>
          <w:tcPr>
            <w:tcW w:type="dxa" w:w="2835"/>
          </w:tcPr>
          <w:p>
            <w:r/>
            <w:r>
              <w:rPr>
                <w:b w:val="0"/>
                <w:sz w:val="18"/>
              </w:rPr>
              <w:t>D12.42, D13.45, D14.51, D15.58</w:t>
            </w:r>
          </w:p>
        </w:tc>
        <w:tc>
          <w:tcPr>
            <w:tcW w:type="dxa" w:w="3061"/>
          </w:tcPr>
          <w:p>
            <w:r/>
            <w:r>
              <w:rPr>
                <w:b w:val="0"/>
                <w:sz w:val="18"/>
              </w:rPr>
              <w:t>Directo a `MATRIZ_174!W:Z`; `/2` → 0–1 (ISA-PV); x100 al componer ISA-Completo</w:t>
            </w:r>
          </w:p>
        </w:tc>
      </w:tr>
      <w:tr>
        <w:tc>
          <w:tcPr>
            <w:tcW w:type="dxa" w:w="3628"/>
          </w:tcPr>
          <w:p>
            <w:r/>
            <w:r>
              <w:rPr>
                <w:b w:val="0"/>
                <w:sz w:val="18"/>
              </w:rPr>
              <w:t>Porcentaje 0–100</w:t>
            </w:r>
          </w:p>
        </w:tc>
        <w:tc>
          <w:tcPr>
            <w:tcW w:type="dxa" w:w="2835"/>
          </w:tcPr>
          <w:p>
            <w:r/>
            <w:r>
              <w:rPr>
                <w:b w:val="0"/>
                <w:sz w:val="18"/>
              </w:rPr>
              <w:t>B0.7, B0.12, D2.6, D3.11, D8.30, P11, R1–R10</w:t>
            </w:r>
          </w:p>
        </w:tc>
        <w:tc>
          <w:tcPr>
            <w:tcW w:type="dxa" w:w="3061"/>
          </w:tcPr>
          <w:p>
            <w:r/>
            <w:r>
              <w:rPr>
                <w:b w:val="0"/>
                <w:sz w:val="18"/>
              </w:rPr>
              <w:t>Directo</w:t>
            </w:r>
          </w:p>
        </w:tc>
      </w:tr>
      <w:tr>
        <w:tc>
          <w:tcPr>
            <w:tcW w:type="dxa" w:w="3628"/>
          </w:tcPr>
          <w:p>
            <w:r/>
            <w:r>
              <w:rPr>
                <w:b w:val="0"/>
                <w:sz w:val="18"/>
              </w:rPr>
              <w:t>Categórica ordinal</w:t>
            </w:r>
          </w:p>
        </w:tc>
        <w:tc>
          <w:tcPr>
            <w:tcW w:type="dxa" w:w="2835"/>
          </w:tcPr>
          <w:p>
            <w:r/>
            <w:r>
              <w:rPr>
                <w:b w:val="0"/>
                <w:sz w:val="18"/>
              </w:rPr>
              <w:t>Resto de preguntas de opción múltiple</w:t>
            </w:r>
          </w:p>
        </w:tc>
        <w:tc>
          <w:tcPr>
            <w:tcW w:type="dxa" w:w="3061"/>
          </w:tcPr>
          <w:p>
            <w:r/>
            <w:r>
              <w:rPr>
                <w:b w:val="0"/>
                <w:sz w:val="18"/>
              </w:rPr>
              <w:t>Primera opción = mejor; verificar excepciones documentadas (D2.9, D4.15) contra la tabla de codificación</w:t>
            </w:r>
          </w:p>
        </w:tc>
      </w:tr>
      <w:tr>
        <w:tc>
          <w:tcPr>
            <w:tcW w:type="dxa" w:w="3628"/>
          </w:tcPr>
          <w:p>
            <w:r/>
            <w:r>
              <w:rPr>
                <w:b w:val="0"/>
                <w:sz w:val="18"/>
              </w:rPr>
              <w:t>Banderas y texto libre</w:t>
            </w:r>
          </w:p>
        </w:tc>
        <w:tc>
          <w:tcPr>
            <w:tcW w:type="dxa" w:w="2835"/>
          </w:tcPr>
          <w:p>
            <w:r/>
            <w:r>
              <w:rPr>
                <w:b w:val="0"/>
                <w:sz w:val="18"/>
              </w:rPr>
              <w:t>D2.10, D2.5b, D3.14i, D4.15a, D7.28, D10.36, D15.60; D5.19a, D7.28c, D11.38/39</w:t>
            </w:r>
          </w:p>
        </w:tc>
        <w:tc>
          <w:tcPr>
            <w:tcW w:type="dxa" w:w="3061"/>
          </w:tcPr>
          <w:p>
            <w:r/>
            <w:r>
              <w:rPr>
                <w:b w:val="0"/>
                <w:sz w:val="18"/>
              </w:rPr>
              <w:t>No promedian: se reportan por separado</w:t>
            </w:r>
          </w:p>
        </w:tc>
      </w:tr>
    </w:tbl>
    <w:p>
      <w:pPr>
        <w:spacing w:after="40"/>
      </w:pPr>
    </w:p>
    <w:p>
      <w:pPr>
        <w:spacing w:after="120"/>
      </w:pPr>
      <w:r>
        <w:rPr>
          <w:b/>
        </w:rPr>
        <w:t>Ramas condicionales</w:t>
      </w:r>
      <w:r>
        <w:rPr>
          <w:b w:val="0"/>
        </w:rPr>
        <w:t xml:space="preserve"> (configurar en Google Forms con "Ir a la sección basado en la respuesta"; si la rama no aplica, la celda queda vacía —no se inventa valor—): B0.5 → B0.6; P8 → P9; D1.3 → D1.3a; D2.5a → D2.5b; D6.25a → D6.25b; D7.28b → D7.28c.</w:t>
      </w:r>
    </w:p>
    <w:p>
      <w:pPr>
        <w:pStyle w:val="Heading2"/>
      </w:pPr>
      <w:r>
        <w:t>1.3 Diseño sin sesgo hacia el café</w:t>
      </w:r>
    </w:p>
    <w:p>
      <w:pPr>
        <w:spacing w:after="120"/>
      </w:pPr>
      <w:r>
        <w:rPr>
          <w:b w:val="0"/>
        </w:rPr>
        <w:t>El instrumento aplica por igual a café y cacao. Las decisiones de redacción que lo garantizan:</w:t>
      </w:r>
    </w:p>
    <w:p>
      <w:pPr>
        <w:pStyle w:val="ListBullet"/>
        <w:spacing w:after="60"/>
      </w:pPr>
      <w:r>
        <w:rPr>
          <w:b/>
          <w:sz w:val="20"/>
        </w:rPr>
        <w:t>Producto abierto:</w:t>
      </w:r>
      <w:r>
        <w:rPr>
          <w:b w:val="0"/>
          <w:sz w:val="20"/>
        </w:rPr>
        <w:t xml:space="preserve"> B0.3 pregunta el producto exportado y su código SA sin opción predeterminada. La distribución del marco real es 80 CAFÉ / 83 CACAO / 1 PLÁTANO / 10 sin dato (49% / 51%).</w:t>
      </w:r>
    </w:p>
    <w:p>
      <w:pPr>
        <w:pStyle w:val="ListBullet"/>
        <w:spacing w:after="60"/>
      </w:pPr>
      <w:r>
        <w:rPr>
          <w:b/>
          <w:sz w:val="20"/>
        </w:rPr>
        <w:t>D12.42 (huella de carbono)</w:t>
      </w:r>
      <w:r>
        <w:rPr>
          <w:b w:val="0"/>
          <w:sz w:val="20"/>
        </w:rPr>
        <w:t xml:space="preserve"> no depende de CalCafé v2.1 —calculadora validada solo para café—: pregunta si la organización "mide o ha calculado" su huella (alcance 1 y 2), con verificación por tercero como nivel máximo.</w:t>
      </w:r>
    </w:p>
    <w:p>
      <w:pPr>
        <w:pStyle w:val="ListBullet"/>
        <w:spacing w:after="60"/>
      </w:pPr>
      <w:r>
        <w:rPr>
          <w:b/>
          <w:sz w:val="20"/>
        </w:rPr>
        <w:t>D15.58 (fitosanitario/LMR)</w:t>
      </w:r>
      <w:r>
        <w:rPr>
          <w:b w:val="0"/>
          <w:sz w:val="20"/>
        </w:rPr>
        <w:t xml:space="preserve"> aplica a ambos productos y cierra el módulo Farm to Fork, que estaba sesgado al café por la dependencia de CalCafé.</w:t>
      </w:r>
    </w:p>
    <w:p>
      <w:pPr>
        <w:pStyle w:val="ListBullet"/>
        <w:spacing w:after="60"/>
      </w:pPr>
      <w:r>
        <w:rPr>
          <w:b/>
          <w:sz w:val="20"/>
        </w:rPr>
        <w:t>D14.51</w:t>
      </w:r>
      <w:r>
        <w:rPr>
          <w:b w:val="0"/>
          <w:sz w:val="20"/>
        </w:rPr>
        <w:t xml:space="preserve"> dice "pulpa o cáscara" (aplica a café y cacao), no "trilla" (específico de café).</w:t>
      </w:r>
    </w:p>
    <w:p>
      <w:pPr>
        <w:pStyle w:val="ListBullet"/>
        <w:spacing w:after="60"/>
      </w:pPr>
      <w:r>
        <w:rPr>
          <w:b/>
          <w:sz w:val="20"/>
        </w:rPr>
        <w:t>R5</w:t>
      </w:r>
      <w:r>
        <w:rPr>
          <w:b w:val="0"/>
          <w:sz w:val="20"/>
        </w:rPr>
        <w:t xml:space="preserve"> dice "distintos del café o cacao", no "distintos del café".</w:t>
      </w:r>
    </w:p>
    <w:p>
      <w:pPr>
        <w:pStyle w:val="ListBullet"/>
        <w:spacing w:after="60"/>
      </w:pPr>
      <w:r>
        <w:rPr>
          <w:b/>
          <w:sz w:val="20"/>
        </w:rPr>
        <w:t>Ninguna fórmula del índice usa el producto como criterio</w:t>
      </w:r>
      <w:r>
        <w:rPr>
          <w:b w:val="0"/>
          <w:sz w:val="20"/>
        </w:rPr>
        <w:t xml:space="preserve"> de cálculo o filtro; la paridad se verifica con un bloque de corte por producto (§2.6).</w:t>
      </w:r>
    </w:p>
    <w:p>
      <w:pPr>
        <w:pStyle w:val="Heading2"/>
      </w:pPr>
      <w:r>
        <w:t>1.4 Datos faltantes: regla y umbral</w:t>
      </w:r>
    </w:p>
    <w:p>
      <w:pPr>
        <w:pStyle w:val="ListBullet"/>
        <w:spacing w:after="60"/>
      </w:pPr>
      <w:r>
        <w:rPr>
          <w:b w:val="0"/>
          <w:sz w:val="20"/>
        </w:rPr>
        <w:t>Nunca imputar. Una dimensión completa sin respuesta es, con alta probabilidad, MNAR (la ausencia depende del propio valor no observado): imputar con la media sesgaría el índice hacia arriba exactamente donde debería mostrar el vacío.</w:t>
      </w:r>
    </w:p>
    <w:p>
      <w:pPr>
        <w:pStyle w:val="ListBullet"/>
        <w:spacing w:after="60"/>
      </w:pPr>
      <w:r>
        <w:rPr>
          <w:b w:val="0"/>
          <w:sz w:val="20"/>
        </w:rPr>
        <w:t>Dimensión con respuesta parcial: promediar sobre las preguntas efectivamente respondidas.</w:t>
      </w:r>
    </w:p>
    <w:p>
      <w:pPr>
        <w:pStyle w:val="ListBullet"/>
        <w:spacing w:after="60"/>
      </w:pPr>
      <w:r>
        <w:rPr>
          <w:b w:val="0"/>
          <w:sz w:val="20"/>
        </w:rPr>
        <w:t>Dimensión totalmente ausente en una organización que sí alcanza el umbral general: excluirla y re-ponderar proporcionalmente las restantes de su bloque.</w:t>
      </w:r>
    </w:p>
    <w:p>
      <w:pPr>
        <w:pStyle w:val="ListBullet"/>
        <w:spacing w:after="60"/>
      </w:pPr>
      <w:r>
        <w:rPr>
          <w:b w:val="0"/>
          <w:sz w:val="20"/>
        </w:rPr>
        <w:t>Umbral mínimo ISA-EUDR: 7 de 9 dimensiones con al menos el 70% de sus preguntas de escala respondidas; si no, la organización se reporta como "diagnóstico EUDR incompleto".</w:t>
      </w:r>
    </w:p>
    <w:p>
      <w:pPr>
        <w:pStyle w:val="ListBullet"/>
        <w:spacing w:after="60"/>
      </w:pPr>
      <w:r>
        <w:rPr>
          <w:b w:val="0"/>
          <w:sz w:val="20"/>
        </w:rPr>
        <w:t>Umbral mínimo ISA-PV: 3 de 4 dimensiones D12–D15 con al menos el 70% respondido.</w:t>
      </w:r>
    </w:p>
    <w:p>
      <w:pPr>
        <w:pStyle w:val="ListBullet"/>
        <w:spacing w:after="60"/>
      </w:pPr>
      <w:r>
        <w:rPr>
          <w:b w:val="0"/>
          <w:sz w:val="20"/>
        </w:rPr>
        <w:t>Distinguir "ausente" (se excluye y re-pondera) de "cero real" (se mantiene; en el bloque núcleo geométrico anula el producto — es la señal que el método busca mostrar).</w:t>
      </w:r>
    </w:p>
    <w:p>
      <w:pPr>
        <w:pStyle w:val="ListBullet"/>
        <w:spacing w:after="60"/>
      </w:pPr>
      <w:r>
        <w:rPr>
          <w:b w:val="0"/>
          <w:sz w:val="20"/>
        </w:rPr>
        <w:t>Regla operativa en la hoja de cálculo: sin dato se trata como 0 y muestra el semáforo en "sin Inst.2" —la ausencia de dato no implica cumplimiento—.</w:t>
      </w:r>
    </w:p>
    <w:p>
      <w:pPr>
        <w:pStyle w:val="Heading2"/>
      </w:pPr>
      <w:r>
        <w:t>1.5 Trazabilidad del diseño v0.4 (de dónde salió cada pregunta nueva)</w:t>
      </w:r>
    </w:p>
    <w:tbl>
      <w:tblPr>
        <w:tblStyle w:val="TableGrid"/>
        <w:tblW w:type="auto" w:w="0"/>
        <w:tblLook w:firstColumn="1" w:firstRow="1" w:lastColumn="0" w:lastRow="0" w:noHBand="0" w:noVBand="1" w:val="04A0"/>
      </w:tblPr>
      <w:tblGrid>
        <w:gridCol w:w="2880"/>
        <w:gridCol w:w="2880"/>
        <w:gridCol w:w="2880"/>
      </w:tblGrid>
      <w:tr>
        <w:tc>
          <w:tcPr>
            <w:tcW w:type="dxa" w:w="2608"/>
            <w:shd w:val="clear" w:fill="D9E2F3"/>
          </w:tcPr>
          <w:p>
            <w:r>
              <w:rPr>
                <w:b/>
              </w:rPr>
            </w:r>
            <w:r>
              <w:rPr>
                <w:b/>
                <w:sz w:val="18"/>
              </w:rPr>
              <w:t>Origen de la necesidad</w:t>
            </w:r>
          </w:p>
        </w:tc>
        <w:tc>
          <w:tcPr>
            <w:tcW w:type="dxa" w:w="5669"/>
            <w:shd w:val="clear" w:fill="D9E2F3"/>
          </w:tcPr>
          <w:p>
            <w:r>
              <w:rPr>
                <w:b/>
              </w:rPr>
            </w:r>
            <w:r>
              <w:rPr>
                <w:b/>
                <w:sz w:val="18"/>
              </w:rPr>
              <w:t>Preguntas agregadas</w:t>
            </w:r>
          </w:p>
        </w:tc>
        <w:tc>
          <w:tcPr>
            <w:tcW w:type="dxa" w:w="567"/>
            <w:shd w:val="clear" w:fill="D9E2F3"/>
          </w:tcPr>
          <w:p>
            <w:r>
              <w:rPr>
                <w:b/>
              </w:rPr>
            </w:r>
            <w:r>
              <w:rPr>
                <w:b/>
                <w:sz w:val="18"/>
              </w:rPr>
              <w:t>N</w:t>
            </w:r>
          </w:p>
        </w:tc>
      </w:tr>
      <w:tr>
        <w:tc>
          <w:tcPr>
            <w:tcW w:type="dxa" w:w="2608"/>
          </w:tcPr>
          <w:p>
            <w:r/>
            <w:r>
              <w:rPr>
                <w:b w:val="0"/>
                <w:sz w:val="18"/>
              </w:rPr>
              <w:t>Variables del proxy de verificación rápida (`PREGUNTAS_PROXY`) que no tenían pregunta en el Form</w:t>
            </w:r>
          </w:p>
        </w:tc>
        <w:tc>
          <w:tcPr>
            <w:tcW w:type="dxa" w:w="5669"/>
          </w:tcPr>
          <w:p>
            <w:r/>
            <w:r>
              <w:rPr>
                <w:b w:val="0"/>
                <w:sz w:val="18"/>
              </w:rPr>
              <w:t>B0.17 (RNCA) · D2.5a / D2.5b (proveedores externos no socios y su trazabilidad) · D3.14h (autorizaciones ambientales) · D3.14i (sanción OEFA/SINEFA vigente) · D4.15a (alertas de deforestación) · D6.22c (personal de datos) · D7.26a / D7.26b (comprador UE/CSDDD y cláusula contractual) · D10.36a (asesoría EUDR específica) · D11.39a (plataforma APPCACAO/JNC) · PP1 / PP2 (tipo de saco y certificación FSC)</w:t>
            </w:r>
          </w:p>
        </w:tc>
        <w:tc>
          <w:tcPr>
            <w:tcW w:type="dxa" w:w="567"/>
          </w:tcPr>
          <w:p>
            <w:r/>
            <w:r>
              <w:rPr>
                <w:b w:val="0"/>
                <w:sz w:val="18"/>
              </w:rPr>
              <w:t>13</w:t>
            </w:r>
          </w:p>
        </w:tc>
      </w:tr>
      <w:tr>
        <w:tc>
          <w:tcPr>
            <w:tcW w:type="dxa" w:w="2608"/>
          </w:tcPr>
          <w:p>
            <w:r/>
            <w:r>
              <w:rPr>
                <w:b w:val="0"/>
                <w:sz w:val="18"/>
              </w:rPr>
              <w:t>Columnas D12–D15 de `MATRIZ_174` en cero (30% de ISA-Completo sin fuente)</w:t>
            </w:r>
          </w:p>
        </w:tc>
        <w:tc>
          <w:tcPr>
            <w:tcW w:type="dxa" w:w="5669"/>
          </w:tcPr>
          <w:p>
            <w:r/>
            <w:r>
              <w:rPr>
                <w:b w:val="0"/>
                <w:sz w:val="18"/>
              </w:rPr>
              <w:t>D12.42 (huella de carbono) · D13.45 (reporte de sostenibilidad) · D14.51 (gestión de residuos) · D15.58 (monitoreo LMR)</w:t>
            </w:r>
          </w:p>
        </w:tc>
        <w:tc>
          <w:tcPr>
            <w:tcW w:type="dxa" w:w="567"/>
          </w:tcPr>
          <w:p>
            <w:r/>
            <w:r>
              <w:rPr>
                <w:b w:val="0"/>
                <w:sz w:val="18"/>
              </w:rPr>
              <w:t>4</w:t>
            </w:r>
          </w:p>
        </w:tc>
      </w:tr>
      <w:tr>
        <w:tc>
          <w:tcPr>
            <w:tcW w:type="dxa" w:w="2608"/>
          </w:tcPr>
          <w:p>
            <w:r/>
            <w:r>
              <w:rPr>
                <w:b w:val="0"/>
                <w:sz w:val="18"/>
              </w:rPr>
              <w:t>Indicadores PVE (P3–P14) sin pregunta fuente</w:t>
            </w:r>
          </w:p>
        </w:tc>
        <w:tc>
          <w:tcPr>
            <w:tcW w:type="dxa" w:w="5669"/>
          </w:tcPr>
          <w:p>
            <w:r/>
            <w:r>
              <w:rPr>
                <w:b w:val="0"/>
                <w:sz w:val="18"/>
              </w:rPr>
              <w:t>R1–R10 (crédito, formalización, capacitación, retención, diversificación, premium, inversión EUDR, reclamos, energía renovable, residuos)</w:t>
            </w:r>
          </w:p>
        </w:tc>
        <w:tc>
          <w:tcPr>
            <w:tcW w:type="dxa" w:w="567"/>
          </w:tcPr>
          <w:p>
            <w:r/>
            <w:r>
              <w:rPr>
                <w:b w:val="0"/>
                <w:sz w:val="18"/>
              </w:rPr>
              <w:t>10</w:t>
            </w:r>
          </w:p>
        </w:tc>
      </w:tr>
      <w:tr>
        <w:tc>
          <w:tcPr>
            <w:tcW w:type="dxa" w:w="2608"/>
          </w:tcPr>
          <w:p>
            <w:r/>
            <w:r>
              <w:rPr>
                <w:b w:val="0"/>
                <w:sz w:val="18"/>
              </w:rPr>
              <w:t>Campos de ficha que la hoja usa como proxy de IV</w:t>
            </w:r>
          </w:p>
        </w:tc>
        <w:tc>
          <w:tcPr>
            <w:tcW w:type="dxa" w:w="5669"/>
          </w:tcPr>
          <w:p>
            <w:r/>
            <w:r>
              <w:rPr>
                <w:b w:val="0"/>
                <w:sz w:val="18"/>
              </w:rPr>
              <w:t>B0.15 (tipo de organización) · B0.16 (departamento)</w:t>
            </w:r>
          </w:p>
        </w:tc>
        <w:tc>
          <w:tcPr>
            <w:tcW w:type="dxa" w:w="567"/>
          </w:tcPr>
          <w:p>
            <w:r/>
            <w:r>
              <w:rPr>
                <w:b w:val="0"/>
                <w:sz w:val="18"/>
              </w:rPr>
              <w:t>2</w:t>
            </w:r>
          </w:p>
        </w:tc>
      </w:tr>
      <w:tr>
        <w:tc>
          <w:tcPr>
            <w:tcW w:type="dxa" w:w="2608"/>
          </w:tcPr>
          <w:p>
            <w:r/>
            <w:r>
              <w:rPr>
                <w:b w:val="0"/>
                <w:sz w:val="18"/>
              </w:rPr>
              <w:t>Redacción: rol EUDR explícito como rama de D1.3</w:t>
            </w:r>
          </w:p>
        </w:tc>
        <w:tc>
          <w:tcPr>
            <w:tcW w:type="dxa" w:w="5669"/>
          </w:tcPr>
          <w:p>
            <w:r/>
            <w:r>
              <w:rPr>
                <w:b w:val="0"/>
                <w:sz w:val="18"/>
              </w:rPr>
              <w:t>D1.3a</w:t>
            </w:r>
          </w:p>
        </w:tc>
        <w:tc>
          <w:tcPr>
            <w:tcW w:type="dxa" w:w="567"/>
          </w:tcPr>
          <w:p>
            <w:r/>
            <w:r>
              <w:rPr>
                <w:b w:val="0"/>
                <w:sz w:val="18"/>
              </w:rPr>
              <w:t>1</w:t>
            </w:r>
          </w:p>
        </w:tc>
      </w:tr>
      <w:tr>
        <w:tc>
          <w:tcPr>
            <w:tcW w:type="dxa" w:w="2608"/>
          </w:tcPr>
          <w:p>
            <w:r/>
            <w:r>
              <w:rPr>
                <w:b/>
                <w:sz w:val="18"/>
              </w:rPr>
              <w:t>Total preguntas nuevas</w:t>
            </w:r>
          </w:p>
        </w:tc>
        <w:tc>
          <w:tcPr>
            <w:tcW w:type="dxa" w:w="5669"/>
          </w:tcPr>
          <w:p>
            <w:r/>
          </w:p>
        </w:tc>
        <w:tc>
          <w:tcPr>
            <w:tcW w:type="dxa" w:w="567"/>
          </w:tcPr>
          <w:p>
            <w:r/>
            <w:r>
              <w:rPr>
                <w:b/>
                <w:sz w:val="18"/>
              </w:rPr>
              <w:t>30</w:t>
            </w:r>
          </w:p>
        </w:tc>
      </w:tr>
    </w:tbl>
    <w:p>
      <w:pPr>
        <w:spacing w:after="40"/>
      </w:pPr>
    </w:p>
    <w:p>
      <w:pPr>
        <w:spacing w:after="120"/>
      </w:pPr>
      <w:r>
        <w:rPr>
          <w:b w:val="0"/>
        </w:rPr>
        <w:t>Además se modificaron 5 preguntas para eliminar ambigüedad: B0.8 (destinos dentro y fuera de la UE, principal primero), D3.12 (opción explícita de área natural protegida / zona de amortiguamiento), D4.15 (precisa el cruce con GEOSERFOR/PNCB/GFW), D6.22 (distingue partida de tecnología y datos) y D9.34 (incluye fuente de financiamiento identificada).</w:t>
      </w:r>
    </w:p>
    <w:p>
      <w:pPr>
        <w:pStyle w:val="Heading2"/>
      </w:pPr>
      <w:r>
        <w:t>1.6 Correspondencia pregunta a celda destino</w:t>
      </w:r>
    </w:p>
    <w:tbl>
      <w:tblPr>
        <w:tblStyle w:val="TableGrid"/>
        <w:tblW w:type="auto" w:w="0"/>
        <w:tblLook w:firstColumn="1" w:firstRow="1" w:lastColumn="0" w:lastRow="0" w:noHBand="0" w:noVBand="1" w:val="04A0"/>
      </w:tblPr>
      <w:tblGrid>
        <w:gridCol w:w="2880"/>
        <w:gridCol w:w="2880"/>
        <w:gridCol w:w="2880"/>
      </w:tblGrid>
      <w:tr>
        <w:tc>
          <w:tcPr>
            <w:tcW w:type="dxa" w:w="2381"/>
            <w:shd w:val="clear" w:fill="D9E2F3"/>
          </w:tcPr>
          <w:p>
            <w:r>
              <w:rPr>
                <w:b/>
              </w:rPr>
            </w:r>
            <w:r>
              <w:rPr>
                <w:b/>
                <w:sz w:val="18"/>
              </w:rPr>
              <w:t>Bloque del Form</w:t>
            </w:r>
          </w:p>
        </w:tc>
        <w:tc>
          <w:tcPr>
            <w:tcW w:type="dxa" w:w="1020"/>
            <w:shd w:val="clear" w:fill="D9E2F3"/>
          </w:tcPr>
          <w:p>
            <w:r>
              <w:rPr>
                <w:b/>
              </w:rPr>
            </w:r>
            <w:r>
              <w:rPr>
                <w:b/>
                <w:sz w:val="18"/>
              </w:rPr>
              <w:t>Preguntas</w:t>
            </w:r>
          </w:p>
        </w:tc>
        <w:tc>
          <w:tcPr>
            <w:tcW w:type="dxa" w:w="5443"/>
            <w:shd w:val="clear" w:fill="D9E2F3"/>
          </w:tcPr>
          <w:p>
            <w:r>
              <w:rPr>
                <w:b/>
              </w:rPr>
            </w:r>
            <w:r>
              <w:rPr>
                <w:b/>
                <w:sz w:val="18"/>
              </w:rPr>
              <w:t>Destino principal en `PLANTILLA_INDICE_PVE_ISCAM.xlsx`</w:t>
            </w:r>
          </w:p>
        </w:tc>
      </w:tr>
      <w:tr>
        <w:tc>
          <w:tcPr>
            <w:tcW w:type="dxa" w:w="2381"/>
          </w:tcPr>
          <w:p>
            <w:r/>
            <w:r>
              <w:rPr>
                <w:b w:val="0"/>
                <w:sz w:val="18"/>
              </w:rPr>
              <w:t>Metadata</w:t>
            </w:r>
          </w:p>
        </w:tc>
        <w:tc>
          <w:tcPr>
            <w:tcW w:type="dxa" w:w="1020"/>
          </w:tcPr>
          <w:p>
            <w:r/>
            <w:r>
              <w:rPr>
                <w:b w:val="0"/>
                <w:sz w:val="18"/>
              </w:rPr>
              <w:t>3</w:t>
            </w:r>
          </w:p>
        </w:tc>
        <w:tc>
          <w:tcPr>
            <w:tcW w:type="dxa" w:w="5443"/>
          </w:tcPr>
          <w:p>
            <w:r/>
            <w:r>
              <w:rPr>
                <w:b w:val="0"/>
                <w:sz w:val="18"/>
              </w:rPr>
              <w:t>Columnas D/E/F de la Google Sheet de respuestas</w:t>
            </w:r>
          </w:p>
        </w:tc>
      </w:tr>
      <w:tr>
        <w:tc>
          <w:tcPr>
            <w:tcW w:type="dxa" w:w="2381"/>
          </w:tcPr>
          <w:p>
            <w:r/>
            <w:r>
              <w:rPr>
                <w:b w:val="0"/>
                <w:sz w:val="18"/>
              </w:rPr>
              <w:t>Bloque 0</w:t>
            </w:r>
          </w:p>
        </w:tc>
        <w:tc>
          <w:tcPr>
            <w:tcW w:type="dxa" w:w="1020"/>
          </w:tcPr>
          <w:p>
            <w:r/>
            <w:r>
              <w:rPr>
                <w:b w:val="0"/>
                <w:sz w:val="18"/>
              </w:rPr>
              <w:t>17</w:t>
            </w:r>
          </w:p>
        </w:tc>
        <w:tc>
          <w:tcPr>
            <w:tcW w:type="dxa" w:w="5443"/>
          </w:tcPr>
          <w:p>
            <w:r/>
            <w:r>
              <w:rPr>
                <w:b w:val="0"/>
                <w:sz w:val="18"/>
              </w:rPr>
              <w:t>`MATRIZ_174` (B, A, D, Q, R, G, M, H/I, P, C) + insumos IV1–IV5 (`ISCAM_Score!U`–`Y`)</w:t>
            </w:r>
          </w:p>
        </w:tc>
      </w:tr>
      <w:tr>
        <w:tc>
          <w:tcPr>
            <w:tcW w:type="dxa" w:w="2381"/>
          </w:tcPr>
          <w:p>
            <w:r/>
            <w:r>
              <w:rPr>
                <w:b w:val="0"/>
                <w:sz w:val="18"/>
              </w:rPr>
              <w:t>Bloque P</w:t>
            </w:r>
          </w:p>
        </w:tc>
        <w:tc>
          <w:tcPr>
            <w:tcW w:type="dxa" w:w="1020"/>
          </w:tcPr>
          <w:p>
            <w:r/>
            <w:r>
              <w:rPr>
                <w:b w:val="0"/>
                <w:sz w:val="18"/>
              </w:rPr>
              <w:t>15</w:t>
            </w:r>
          </w:p>
        </w:tc>
        <w:tc>
          <w:tcPr>
            <w:tcW w:type="dxa" w:w="5443"/>
          </w:tcPr>
          <w:p>
            <w:r/>
            <w:r>
              <w:rPr>
                <w:b w:val="0"/>
                <w:sz w:val="18"/>
              </w:rPr>
              <w:t>Insumos de IV1 y validación (`MATRIZ_174!AK`); no puntúa dimensiones</w:t>
            </w:r>
          </w:p>
        </w:tc>
      </w:tr>
      <w:tr>
        <w:tc>
          <w:tcPr>
            <w:tcW w:type="dxa" w:w="2381"/>
          </w:tcPr>
          <w:p>
            <w:r/>
            <w:r>
              <w:rPr>
                <w:b w:val="0"/>
                <w:sz w:val="18"/>
              </w:rPr>
              <w:t>D1–D11</w:t>
            </w:r>
          </w:p>
        </w:tc>
        <w:tc>
          <w:tcPr>
            <w:tcW w:type="dxa" w:w="1020"/>
          </w:tcPr>
          <w:p>
            <w:r/>
            <w:r>
              <w:rPr>
                <w:b w:val="0"/>
                <w:sz w:val="18"/>
              </w:rPr>
              <w:t>68</w:t>
            </w:r>
          </w:p>
        </w:tc>
        <w:tc>
          <w:tcPr>
            <w:tcW w:type="dxa" w:w="5443"/>
          </w:tcPr>
          <w:p>
            <w:r/>
            <w:r>
              <w:rPr>
                <w:b w:val="0"/>
                <w:sz w:val="18"/>
              </w:rPr>
              <w:t>`ISCAM_Score!E`–`O` (D3 vía `MATRIZ_174!U`); banderas a `AD`</w:t>
            </w:r>
          </w:p>
        </w:tc>
      </w:tr>
      <w:tr>
        <w:tc>
          <w:tcPr>
            <w:tcW w:type="dxa" w:w="2381"/>
          </w:tcPr>
          <w:p>
            <w:r/>
            <w:r>
              <w:rPr>
                <w:b w:val="0"/>
                <w:sz w:val="18"/>
              </w:rPr>
              <w:t>D12.42 / D13.45 / D14.51 / D15.58</w:t>
            </w:r>
          </w:p>
        </w:tc>
        <w:tc>
          <w:tcPr>
            <w:tcW w:type="dxa" w:w="1020"/>
          </w:tcPr>
          <w:p>
            <w:r/>
            <w:r>
              <w:rPr>
                <w:b w:val="0"/>
                <w:sz w:val="18"/>
              </w:rPr>
              <w:t>4</w:t>
            </w:r>
          </w:p>
        </w:tc>
        <w:tc>
          <w:tcPr>
            <w:tcW w:type="dxa" w:w="5443"/>
          </w:tcPr>
          <w:p>
            <w:r/>
            <w:r>
              <w:rPr>
                <w:b w:val="0"/>
                <w:sz w:val="18"/>
              </w:rPr>
              <w:t>`MATRIZ_174!W:Z` → `AE:AH` → `AI` (ISA-PV) → 30% de `AL`</w:t>
            </w:r>
          </w:p>
        </w:tc>
      </w:tr>
      <w:tr>
        <w:tc>
          <w:tcPr>
            <w:tcW w:type="dxa" w:w="2381"/>
          </w:tcPr>
          <w:p>
            <w:r/>
            <w:r>
              <w:rPr>
                <w:b w:val="0"/>
                <w:sz w:val="18"/>
              </w:rPr>
              <w:t>PP1–PP2</w:t>
            </w:r>
          </w:p>
        </w:tc>
        <w:tc>
          <w:tcPr>
            <w:tcW w:type="dxa" w:w="1020"/>
          </w:tcPr>
          <w:p>
            <w:r/>
            <w:r>
              <w:rPr>
                <w:b w:val="0"/>
                <w:sz w:val="18"/>
              </w:rPr>
              <w:t>2</w:t>
            </w:r>
          </w:p>
        </w:tc>
        <w:tc>
          <w:tcPr>
            <w:tcW w:type="dxa" w:w="5443"/>
          </w:tcPr>
          <w:p>
            <w:r/>
            <w:r>
              <w:rPr>
                <w:b w:val="0"/>
                <w:sz w:val="18"/>
              </w:rPr>
              <w:t>`SCORECARDS!M` + `PONDERADORES!A18`</w:t>
            </w:r>
          </w:p>
        </w:tc>
      </w:tr>
      <w:tr>
        <w:tc>
          <w:tcPr>
            <w:tcW w:type="dxa" w:w="2381"/>
          </w:tcPr>
          <w:p>
            <w:r/>
            <w:r>
              <w:rPr>
                <w:b w:val="0"/>
                <w:sz w:val="18"/>
              </w:rPr>
              <w:t>R1–R10</w:t>
            </w:r>
          </w:p>
        </w:tc>
        <w:tc>
          <w:tcPr>
            <w:tcW w:type="dxa" w:w="1020"/>
          </w:tcPr>
          <w:p>
            <w:r/>
            <w:r>
              <w:rPr>
                <w:b w:val="0"/>
                <w:sz w:val="18"/>
              </w:rPr>
              <w:t>10</w:t>
            </w:r>
          </w:p>
        </w:tc>
        <w:tc>
          <w:tcPr>
            <w:tcW w:type="dxa" w:w="5443"/>
          </w:tcPr>
          <w:p>
            <w:r/>
            <w:r>
              <w:rPr>
                <w:b w:val="0"/>
                <w:sz w:val="18"/>
              </w:rPr>
              <w:t>`MATRIZ_174!AC, AE–AN` → `AO` (P_Global, validación externa)</w:t>
            </w:r>
          </w:p>
        </w:tc>
      </w:tr>
    </w:tbl>
    <w:p>
      <w:pPr>
        <w:spacing w:after="40"/>
      </w:pPr>
    </w:p>
    <w:p>
      <w:pPr>
        <w:spacing w:after="120"/>
      </w:pPr>
      <w:r>
        <w:rPr>
          <w:b w:val="0"/>
        </w:rPr>
        <w:t>El mapa completo, pregunta por pregunta con su tipo de campo y opciones, es la pestaña `INSTRUMENTO_2_PREGUNTAS` (119 filas; verde = nueva en v0.4, amarillo = modificada). Las preguntas cuyos datos ya existen en fuentes externas (FOB, DUAs, estado SUNAT, OSCE) se usan como validación cruzada, nunca como reemplazo de la fuente.</w:t>
      </w:r>
    </w:p>
    <w:p>
      <w:r>
        <w:br w:type="page"/>
      </w:r>
    </w:p>
    <w:p>
      <w:pPr>
        <w:pStyle w:val="Heading1"/>
      </w:pPr>
      <w:r>
        <w:t>2. El índice: construcción, fórmulas y escalas</w:t>
      </w:r>
    </w:p>
    <w:p>
      <w:pPr>
        <w:pStyle w:val="Heading2"/>
      </w:pPr>
      <w:r>
        <w:t>2.1 Arquitectura de la hoja de cálculo</w:t>
      </w:r>
    </w:p>
    <w:tbl>
      <w:tblPr>
        <w:tblStyle w:val="TableGrid"/>
        <w:tblW w:type="auto" w:w="0"/>
        <w:tblLook w:firstColumn="1" w:firstRow="1" w:lastColumn="0" w:lastRow="0" w:noHBand="0" w:noVBand="1" w:val="04A0"/>
      </w:tblPr>
      <w:tblGrid>
        <w:gridCol w:w="2880"/>
        <w:gridCol w:w="2880"/>
        <w:gridCol w:w="2880"/>
      </w:tblGrid>
      <w:tr>
        <w:tc>
          <w:tcPr>
            <w:tcW w:type="dxa" w:w="2154"/>
            <w:shd w:val="clear" w:fill="D9E2F3"/>
          </w:tcPr>
          <w:p>
            <w:r>
              <w:rPr>
                <w:b/>
              </w:rPr>
            </w:r>
            <w:r>
              <w:rPr>
                <w:b/>
                <w:sz w:val="18"/>
              </w:rPr>
              <w:t>Pestaña</w:t>
            </w:r>
          </w:p>
        </w:tc>
        <w:tc>
          <w:tcPr>
            <w:tcW w:type="dxa" w:w="1814"/>
            <w:shd w:val="clear" w:fill="D9E2F3"/>
          </w:tcPr>
          <w:p>
            <w:r>
              <w:rPr>
                <w:b/>
              </w:rPr>
            </w:r>
            <w:r>
              <w:rPr>
                <w:b/>
                <w:sz w:val="18"/>
              </w:rPr>
              <w:t>Rol</w:t>
            </w:r>
          </w:p>
        </w:tc>
        <w:tc>
          <w:tcPr>
            <w:tcW w:type="dxa" w:w="5556"/>
            <w:shd w:val="clear" w:fill="D9E2F3"/>
          </w:tcPr>
          <w:p>
            <w:r>
              <w:rPr>
                <w:b/>
              </w:rPr>
            </w:r>
            <w:r>
              <w:rPr>
                <w:b/>
                <w:sz w:val="18"/>
              </w:rPr>
              <w:t>Contenido</w:t>
            </w:r>
          </w:p>
        </w:tc>
      </w:tr>
      <w:tr>
        <w:tc>
          <w:tcPr>
            <w:tcW w:type="dxa" w:w="2154"/>
          </w:tcPr>
          <w:p>
            <w:r/>
            <w:r>
              <w:rPr>
                <w:b w:val="0"/>
                <w:sz w:val="18"/>
              </w:rPr>
              <w:t>`INSTRUCCIONES`</w:t>
            </w:r>
          </w:p>
        </w:tc>
        <w:tc>
          <w:tcPr>
            <w:tcW w:type="dxa" w:w="1814"/>
          </w:tcPr>
          <w:p>
            <w:r/>
            <w:r>
              <w:rPr>
                <w:b w:val="0"/>
                <w:sz w:val="18"/>
              </w:rPr>
              <w:t>Gobernanza del uso</w:t>
            </w:r>
          </w:p>
        </w:tc>
        <w:tc>
          <w:tcPr>
            <w:tcW w:type="dxa" w:w="5556"/>
          </w:tcPr>
          <w:p>
            <w:r/>
            <w:r>
              <w:rPr>
                <w:b w:val="0"/>
                <w:sz w:val="18"/>
              </w:rPr>
              <w:t>Flujo de 5 pasos; semáforo (Crítico 0–33 / Vulnerable 34–66 / Preparado 67–100)</w:t>
            </w:r>
          </w:p>
        </w:tc>
      </w:tr>
      <w:tr>
        <w:tc>
          <w:tcPr>
            <w:tcW w:type="dxa" w:w="2154"/>
          </w:tcPr>
          <w:p>
            <w:r/>
            <w:r>
              <w:rPr>
                <w:b w:val="0"/>
                <w:sz w:val="18"/>
              </w:rPr>
              <w:t>`INSTRUMENTO_2_PREGUNTAS`</w:t>
            </w:r>
          </w:p>
        </w:tc>
        <w:tc>
          <w:tcPr>
            <w:tcW w:type="dxa" w:w="1814"/>
          </w:tcPr>
          <w:p>
            <w:r/>
            <w:r>
              <w:rPr>
                <w:b w:val="0"/>
                <w:sz w:val="18"/>
              </w:rPr>
              <w:t>Puente Form a hoja</w:t>
            </w:r>
          </w:p>
        </w:tc>
        <w:tc>
          <w:tcPr>
            <w:tcW w:type="dxa" w:w="5556"/>
          </w:tcPr>
          <w:p>
            <w:r/>
            <w:r>
              <w:rPr>
                <w:b w:val="0"/>
                <w:sz w:val="18"/>
              </w:rPr>
              <w:t>Las 119 preguntas con su celda destino; marca de nueva/modificada en v0.4; filtro automático</w:t>
            </w:r>
          </w:p>
        </w:tc>
      </w:tr>
      <w:tr>
        <w:tc>
          <w:tcPr>
            <w:tcW w:type="dxa" w:w="2154"/>
          </w:tcPr>
          <w:p>
            <w:r/>
            <w:r>
              <w:rPr>
                <w:b w:val="0"/>
                <w:sz w:val="18"/>
              </w:rPr>
              <w:t>`PONDERADORES`</w:t>
            </w:r>
          </w:p>
        </w:tc>
        <w:tc>
          <w:tcPr>
            <w:tcW w:type="dxa" w:w="1814"/>
          </w:tcPr>
          <w:p>
            <w:r/>
            <w:r>
              <w:rPr>
                <w:b w:val="0"/>
                <w:sz w:val="18"/>
              </w:rPr>
              <w:t>Supuestos</w:t>
            </w:r>
          </w:p>
        </w:tc>
        <w:tc>
          <w:tcPr>
            <w:tcW w:type="dxa" w:w="5556"/>
          </w:tcPr>
          <w:p>
            <w:r/>
            <w:r>
              <w:rPr>
                <w:b w:val="0"/>
                <w:sz w:val="18"/>
              </w:rPr>
              <w:t>Índice PVE editable en 7 componentes (EXP_UE 25, TRAZA 20, DILIG 15, CAPAC 10, PRESION 15, CERTIF 10, PPWR 5) y bloque ISCAM de pesos fijos; fórmulas documentadas como texto con referencia a la celda real de cálculo</w:t>
            </w:r>
          </w:p>
        </w:tc>
      </w:tr>
      <w:tr>
        <w:tc>
          <w:tcPr>
            <w:tcW w:type="dxa" w:w="2154"/>
          </w:tcPr>
          <w:p>
            <w:r/>
            <w:r>
              <w:rPr>
                <w:b w:val="0"/>
                <w:sz w:val="18"/>
              </w:rPr>
              <w:t>`MATRIZ_174`</w:t>
            </w:r>
          </w:p>
        </w:tc>
        <w:tc>
          <w:tcPr>
            <w:tcW w:type="dxa" w:w="1814"/>
          </w:tcPr>
          <w:p>
            <w:r/>
            <w:r>
              <w:rPr>
                <w:b w:val="0"/>
                <w:sz w:val="18"/>
              </w:rPr>
              <w:t>Marco muestral y datos duros</w:t>
            </w:r>
          </w:p>
        </w:tc>
        <w:tc>
          <w:tcPr>
            <w:tcW w:type="dxa" w:w="5556"/>
          </w:tcPr>
          <w:p>
            <w:r/>
            <w:r>
              <w:rPr>
                <w:b w:val="0"/>
                <w:sz w:val="18"/>
              </w:rPr>
              <w:t>174 organizaciones; 36 columnas de dato (SUNAT, DUAs/FOB, certificaciones, score OSCE, D12–D15, P1–P14) + clasificación PVE</w:t>
            </w:r>
          </w:p>
        </w:tc>
      </w:tr>
      <w:tr>
        <w:tc>
          <w:tcPr>
            <w:tcW w:type="dxa" w:w="2154"/>
          </w:tcPr>
          <w:p>
            <w:r/>
            <w:r>
              <w:rPr>
                <w:b w:val="0"/>
                <w:sz w:val="18"/>
              </w:rPr>
              <w:t>`PREGUNTAS_PROXY`</w:t>
            </w:r>
          </w:p>
        </w:tc>
        <w:tc>
          <w:tcPr>
            <w:tcW w:type="dxa" w:w="1814"/>
          </w:tcPr>
          <w:p>
            <w:r/>
            <w:r>
              <w:rPr>
                <w:b w:val="0"/>
                <w:sz w:val="18"/>
              </w:rPr>
              <w:t>Verificación rápida</w:t>
            </w:r>
          </w:p>
        </w:tc>
        <w:tc>
          <w:tcPr>
            <w:tcW w:type="dxa" w:w="5556"/>
          </w:tcPr>
          <w:p>
            <w:r/>
            <w:r>
              <w:rPr>
                <w:b w:val="0"/>
                <w:sz w:val="18"/>
              </w:rPr>
              <w:t>36 preguntas proxy por dimensión con umbrales 0.67/0.34; back-up y validación</w:t>
            </w:r>
          </w:p>
        </w:tc>
      </w:tr>
      <w:tr>
        <w:tc>
          <w:tcPr>
            <w:tcW w:type="dxa" w:w="2154"/>
          </w:tcPr>
          <w:p>
            <w:r/>
            <w:r>
              <w:rPr>
                <w:b w:val="0"/>
                <w:sz w:val="18"/>
              </w:rPr>
              <w:t>`SCORECARDS`</w:t>
            </w:r>
          </w:p>
        </w:tc>
        <w:tc>
          <w:tcPr>
            <w:tcW w:type="dxa" w:w="1814"/>
          </w:tcPr>
          <w:p>
            <w:r/>
            <w:r>
              <w:rPr>
                <w:b w:val="0"/>
                <w:sz w:val="18"/>
              </w:rPr>
              <w:t>Scorecard por organización</w:t>
            </w:r>
          </w:p>
        </w:tc>
        <w:tc>
          <w:tcPr>
            <w:tcW w:type="dxa" w:w="5556"/>
          </w:tcPr>
          <w:p>
            <w:r/>
            <w:r>
              <w:rPr>
                <w:b w:val="0"/>
                <w:sz w:val="18"/>
              </w:rPr>
              <w:t>ISA-Completo, semáforo, ranking y entradas manuales de D2/D5/D6</w:t>
            </w:r>
          </w:p>
        </w:tc>
      </w:tr>
      <w:tr>
        <w:tc>
          <w:tcPr>
            <w:tcW w:type="dxa" w:w="2154"/>
          </w:tcPr>
          <w:p>
            <w:r/>
            <w:r>
              <w:rPr>
                <w:b w:val="0"/>
                <w:sz w:val="18"/>
              </w:rPr>
              <w:t>`ISCAM_Score`</w:t>
            </w:r>
          </w:p>
        </w:tc>
        <w:tc>
          <w:tcPr>
            <w:tcW w:type="dxa" w:w="1814"/>
          </w:tcPr>
          <w:p>
            <w:r/>
            <w:r>
              <w:rPr>
                <w:b w:val="0"/>
                <w:sz w:val="18"/>
              </w:rPr>
              <w:t>Cálculo del índice</w:t>
            </w:r>
          </w:p>
        </w:tc>
        <w:tc>
          <w:tcPr>
            <w:tcW w:type="dxa" w:w="5556"/>
          </w:tcPr>
          <w:p>
            <w:r/>
            <w:r>
              <w:rPr>
                <w:b w:val="0"/>
                <w:sz w:val="18"/>
              </w:rPr>
              <w:t>D1–D11, IP1–IP5, IV1–IV5, IP, IV, RE, tipología 2x2, banderas, ISA-PV, P_Global, ISA-EUDR, ISA-Completo</w:t>
            </w:r>
          </w:p>
        </w:tc>
      </w:tr>
      <w:tr>
        <w:tc>
          <w:tcPr>
            <w:tcW w:type="dxa" w:w="2154"/>
          </w:tcPr>
          <w:p>
            <w:r/>
            <w:r>
              <w:rPr>
                <w:b w:val="0"/>
                <w:sz w:val="18"/>
              </w:rPr>
              <w:t>`RADAR_BRECHAS`</w:t>
            </w:r>
          </w:p>
        </w:tc>
        <w:tc>
          <w:tcPr>
            <w:tcW w:type="dxa" w:w="1814"/>
          </w:tcPr>
          <w:p>
            <w:r/>
            <w:r>
              <w:rPr>
                <w:b w:val="0"/>
                <w:sz w:val="18"/>
              </w:rPr>
              <w:t>Agregación</w:t>
            </w:r>
          </w:p>
        </w:tc>
        <w:tc>
          <w:tcPr>
            <w:tcW w:type="dxa" w:w="5556"/>
          </w:tcPr>
          <w:p>
            <w:r/>
            <w:r>
              <w:rPr>
                <w:b w:val="0"/>
                <w:sz w:val="18"/>
              </w:rPr>
              <w:t>Promedio por departamento y dimensión (11 dimensiones x 15 departamentos) + bloque de paridad café/cacao</w:t>
            </w:r>
          </w:p>
        </w:tc>
      </w:tr>
    </w:tbl>
    <w:p>
      <w:pPr>
        <w:spacing w:after="40"/>
      </w:pPr>
    </w:p>
    <w:p>
      <w:pPr>
        <w:pStyle w:val="Heading2"/>
      </w:pPr>
      <w:r>
        <w:t>2.2 Índices y fórmulas (fila 4 = primera organización)</w:t>
      </w:r>
    </w:p>
    <w:tbl>
      <w:tblPr>
        <w:tblStyle w:val="TableGrid"/>
        <w:tblW w:type="auto" w:w="0"/>
        <w:tblLook w:firstColumn="1" w:firstRow="1" w:lastColumn="0" w:lastRow="0" w:noHBand="0" w:noVBand="1" w:val="04A0"/>
      </w:tblPr>
      <w:tblGrid>
        <w:gridCol w:w="2880"/>
        <w:gridCol w:w="2880"/>
        <w:gridCol w:w="2880"/>
      </w:tblGrid>
      <w:tr>
        <w:tc>
          <w:tcPr>
            <w:tcW w:type="dxa" w:w="2608"/>
            <w:shd w:val="clear" w:fill="D9E2F3"/>
          </w:tcPr>
          <w:p>
            <w:r>
              <w:rPr>
                <w:b/>
              </w:rPr>
            </w:r>
            <w:r>
              <w:rPr>
                <w:b/>
                <w:sz w:val="18"/>
              </w:rPr>
              <w:t>Índice</w:t>
            </w:r>
          </w:p>
        </w:tc>
        <w:tc>
          <w:tcPr>
            <w:tcW w:type="dxa" w:w="5329"/>
            <w:shd w:val="clear" w:fill="D9E2F3"/>
          </w:tcPr>
          <w:p>
            <w:r>
              <w:rPr>
                <w:b/>
              </w:rPr>
            </w:r>
            <w:r>
              <w:rPr>
                <w:b/>
                <w:sz w:val="18"/>
              </w:rPr>
              <w:t>Fórmula</w:t>
            </w:r>
          </w:p>
        </w:tc>
        <w:tc>
          <w:tcPr>
            <w:tcW w:type="dxa" w:w="1020"/>
            <w:shd w:val="clear" w:fill="D9E2F3"/>
          </w:tcPr>
          <w:p>
            <w:r>
              <w:rPr>
                <w:b/>
              </w:rPr>
            </w:r>
            <w:r>
              <w:rPr>
                <w:b/>
                <w:sz w:val="18"/>
              </w:rPr>
              <w:t>Columna</w:t>
            </w:r>
          </w:p>
        </w:tc>
      </w:tr>
      <w:tr>
        <w:tc>
          <w:tcPr>
            <w:tcW w:type="dxa" w:w="2608"/>
          </w:tcPr>
          <w:p>
            <w:r/>
            <w:r>
              <w:rPr>
                <w:b w:val="0"/>
                <w:sz w:val="18"/>
              </w:rPr>
              <w:t>Dimensiones D1–D11</w:t>
            </w:r>
          </w:p>
        </w:tc>
        <w:tc>
          <w:tcPr>
            <w:tcW w:type="dxa" w:w="5329"/>
          </w:tcPr>
          <w:p>
            <w:r/>
            <w:r>
              <w:rPr>
                <w:b w:val="0"/>
                <w:sz w:val="18"/>
              </w:rPr>
              <w:t>valores por organización, escala 0–100</w:t>
            </w:r>
          </w:p>
        </w:tc>
        <w:tc>
          <w:tcPr>
            <w:tcW w:type="dxa" w:w="1020"/>
          </w:tcPr>
          <w:p>
            <w:r/>
            <w:r>
              <w:rPr>
                <w:b w:val="0"/>
                <w:sz w:val="18"/>
              </w:rPr>
              <w:t>`E`–`O`</w:t>
            </w:r>
          </w:p>
        </w:tc>
      </w:tr>
      <w:tr>
        <w:tc>
          <w:tcPr>
            <w:tcW w:type="dxa" w:w="2608"/>
          </w:tcPr>
          <w:p>
            <w:r/>
            <w:r>
              <w:rPr>
                <w:b w:val="0"/>
                <w:sz w:val="18"/>
              </w:rPr>
              <w:t>IP1 · Trazabilidad y origen</w:t>
            </w:r>
          </w:p>
        </w:tc>
        <w:tc>
          <w:tcPr>
            <w:tcW w:type="dxa" w:w="5329"/>
          </w:tcPr>
          <w:p>
            <w:r/>
            <w:r>
              <w:rPr>
                <w:b w:val="0"/>
                <w:sz w:val="18"/>
              </w:rPr>
              <w:t>= D2</w:t>
            </w:r>
          </w:p>
        </w:tc>
        <w:tc>
          <w:tcPr>
            <w:tcW w:type="dxa" w:w="1020"/>
          </w:tcPr>
          <w:p>
            <w:r/>
            <w:r>
              <w:rPr>
                <w:b w:val="0"/>
                <w:sz w:val="18"/>
              </w:rPr>
              <w:t>`P`</w:t>
            </w:r>
          </w:p>
        </w:tc>
      </w:tr>
      <w:tr>
        <w:tc>
          <w:tcPr>
            <w:tcW w:type="dxa" w:w="2608"/>
          </w:tcPr>
          <w:p>
            <w:r/>
            <w:r>
              <w:rPr>
                <w:b w:val="0"/>
                <w:sz w:val="18"/>
              </w:rPr>
              <w:t>IP2 · Legalidad x Deforestación</w:t>
            </w:r>
          </w:p>
        </w:tc>
        <w:tc>
          <w:tcPr>
            <w:tcW w:type="dxa" w:w="5329"/>
          </w:tcPr>
          <w:p>
            <w:r/>
            <w:r>
              <w:rPr>
                <w:b w:val="0"/>
                <w:sz w:val="18"/>
              </w:rPr>
              <w:t>= RAIZ(D3 x D4)</w:t>
            </w:r>
          </w:p>
        </w:tc>
        <w:tc>
          <w:tcPr>
            <w:tcW w:type="dxa" w:w="1020"/>
          </w:tcPr>
          <w:p>
            <w:r/>
            <w:r>
              <w:rPr>
                <w:b w:val="0"/>
                <w:sz w:val="18"/>
              </w:rPr>
              <w:t>`Q`</w:t>
            </w:r>
          </w:p>
        </w:tc>
      </w:tr>
      <w:tr>
        <w:tc>
          <w:tcPr>
            <w:tcW w:type="dxa" w:w="2608"/>
          </w:tcPr>
          <w:p>
            <w:r/>
            <w:r>
              <w:rPr>
                <w:b w:val="0"/>
                <w:sz w:val="18"/>
              </w:rPr>
              <w:t>IP3 · Capacidades organizacionales</w:t>
            </w:r>
          </w:p>
        </w:tc>
        <w:tc>
          <w:tcPr>
            <w:tcW w:type="dxa" w:w="5329"/>
          </w:tcPr>
          <w:p>
            <w:r/>
            <w:r>
              <w:rPr>
                <w:b w:val="0"/>
                <w:sz w:val="18"/>
              </w:rPr>
              <w:t>= (D5 + D6 + D8) / 3</w:t>
            </w:r>
          </w:p>
        </w:tc>
        <w:tc>
          <w:tcPr>
            <w:tcW w:type="dxa" w:w="1020"/>
          </w:tcPr>
          <w:p>
            <w:r/>
            <w:r>
              <w:rPr>
                <w:b w:val="0"/>
                <w:sz w:val="18"/>
              </w:rPr>
              <w:t>`R`</w:t>
            </w:r>
          </w:p>
        </w:tc>
      </w:tr>
      <w:tr>
        <w:tc>
          <w:tcPr>
            <w:tcW w:type="dxa" w:w="2608"/>
          </w:tcPr>
          <w:p>
            <w:r/>
            <w:r>
              <w:rPr>
                <w:b w:val="0"/>
                <w:sz w:val="18"/>
              </w:rPr>
              <w:t>IP4 · Información y documentación</w:t>
            </w:r>
          </w:p>
        </w:tc>
        <w:tc>
          <w:tcPr>
            <w:tcW w:type="dxa" w:w="5329"/>
          </w:tcPr>
          <w:p>
            <w:r/>
            <w:r>
              <w:rPr>
                <w:b w:val="0"/>
                <w:sz w:val="18"/>
              </w:rPr>
              <w:t>= (D6 + D2) / 2</w:t>
            </w:r>
          </w:p>
        </w:tc>
        <w:tc>
          <w:tcPr>
            <w:tcW w:type="dxa" w:w="1020"/>
          </w:tcPr>
          <w:p>
            <w:r/>
            <w:r>
              <w:rPr>
                <w:b w:val="0"/>
                <w:sz w:val="18"/>
              </w:rPr>
              <w:t>`S`</w:t>
            </w:r>
          </w:p>
        </w:tc>
      </w:tr>
      <w:tr>
        <w:tc>
          <w:tcPr>
            <w:tcW w:type="dxa" w:w="2608"/>
          </w:tcPr>
          <w:p>
            <w:r/>
            <w:r>
              <w:rPr>
                <w:b w:val="0"/>
                <w:sz w:val="18"/>
              </w:rPr>
              <w:t>IP5 · Mercado y riesgo</w:t>
            </w:r>
          </w:p>
        </w:tc>
        <w:tc>
          <w:tcPr>
            <w:tcW w:type="dxa" w:w="5329"/>
          </w:tcPr>
          <w:p>
            <w:r/>
            <w:r>
              <w:rPr>
                <w:b w:val="0"/>
                <w:sz w:val="18"/>
              </w:rPr>
              <w:t>= (D7 + D9 + Cert) / 3</w:t>
            </w:r>
          </w:p>
        </w:tc>
        <w:tc>
          <w:tcPr>
            <w:tcW w:type="dxa" w:w="1020"/>
          </w:tcPr>
          <w:p>
            <w:r/>
            <w:r>
              <w:rPr>
                <w:b w:val="0"/>
                <w:sz w:val="18"/>
              </w:rPr>
              <w:t>`T`</w:t>
            </w:r>
          </w:p>
        </w:tc>
      </w:tr>
      <w:tr>
        <w:tc>
          <w:tcPr>
            <w:tcW w:type="dxa" w:w="2608"/>
          </w:tcPr>
          <w:p>
            <w:r/>
            <w:r>
              <w:rPr>
                <w:b/>
                <w:sz w:val="18"/>
              </w:rPr>
              <w:t>IP — Índice de Preparación</w:t>
            </w:r>
          </w:p>
        </w:tc>
        <w:tc>
          <w:tcPr>
            <w:tcW w:type="dxa" w:w="5329"/>
          </w:tcPr>
          <w:p>
            <w:r/>
            <w:r>
              <w:rPr>
                <w:b w:val="0"/>
                <w:sz w:val="18"/>
              </w:rPr>
              <w:t>= promedio(IP1:IP5) (20% cada sub-dimensión)</w:t>
            </w:r>
          </w:p>
        </w:tc>
        <w:tc>
          <w:tcPr>
            <w:tcW w:type="dxa" w:w="1020"/>
          </w:tcPr>
          <w:p>
            <w:r/>
            <w:r>
              <w:rPr>
                <w:b w:val="0"/>
                <w:sz w:val="18"/>
              </w:rPr>
              <w:t>`Z`</w:t>
            </w:r>
          </w:p>
        </w:tc>
      </w:tr>
      <w:tr>
        <w:tc>
          <w:tcPr>
            <w:tcW w:type="dxa" w:w="2608"/>
          </w:tcPr>
          <w:p>
            <w:r/>
            <w:r>
              <w:rPr>
                <w:b w:val="0"/>
                <w:sz w:val="18"/>
              </w:rPr>
              <w:t>IV1 · Exposición UE (proxy)</w:t>
            </w:r>
          </w:p>
        </w:tc>
        <w:tc>
          <w:tcPr>
            <w:tcW w:type="dxa" w:w="5329"/>
          </w:tcPr>
          <w:p>
            <w:r/>
            <w:r>
              <w:rPr>
                <w:b w:val="0"/>
                <w:sz w:val="18"/>
              </w:rPr>
              <w:t>= MIN(100, % FOB UE de `MATRIZ_174!M`)</w:t>
            </w:r>
          </w:p>
        </w:tc>
        <w:tc>
          <w:tcPr>
            <w:tcW w:type="dxa" w:w="1020"/>
          </w:tcPr>
          <w:p>
            <w:r/>
            <w:r>
              <w:rPr>
                <w:b w:val="0"/>
                <w:sz w:val="18"/>
              </w:rPr>
              <w:t>`U`</w:t>
            </w:r>
          </w:p>
        </w:tc>
      </w:tr>
      <w:tr>
        <w:tc>
          <w:tcPr>
            <w:tcW w:type="dxa" w:w="2608"/>
          </w:tcPr>
          <w:p>
            <w:r/>
            <w:r>
              <w:rPr>
                <w:b w:val="0"/>
                <w:sz w:val="18"/>
              </w:rPr>
              <w:t>IV2 · Rol regulatorio (proxy)</w:t>
            </w:r>
          </w:p>
        </w:tc>
        <w:tc>
          <w:tcPr>
            <w:tcW w:type="dxa" w:w="5329"/>
          </w:tcPr>
          <w:p>
            <w:r/>
            <w:r>
              <w:rPr>
                <w:b w:val="0"/>
                <w:sz w:val="18"/>
              </w:rPr>
              <w:t>= D1 (base 50 si D1 = 0)</w:t>
            </w:r>
          </w:p>
        </w:tc>
        <w:tc>
          <w:tcPr>
            <w:tcW w:type="dxa" w:w="1020"/>
          </w:tcPr>
          <w:p>
            <w:r/>
            <w:r>
              <w:rPr>
                <w:b w:val="0"/>
                <w:sz w:val="18"/>
              </w:rPr>
              <w:t>`V`</w:t>
            </w:r>
          </w:p>
        </w:tc>
      </w:tr>
      <w:tr>
        <w:tc>
          <w:tcPr>
            <w:tcW w:type="dxa" w:w="2608"/>
          </w:tcPr>
          <w:p>
            <w:r/>
            <w:r>
              <w:rPr>
                <w:b w:val="0"/>
                <w:sz w:val="18"/>
              </w:rPr>
              <w:t>IV3 · Fragilidad territorial (proxy)</w:t>
            </w:r>
          </w:p>
        </w:tc>
        <w:tc>
          <w:tcPr>
            <w:tcW w:type="dxa" w:w="5329"/>
          </w:tcPr>
          <w:p>
            <w:r/>
            <w:r>
              <w:rPr>
                <w:b w:val="0"/>
                <w:sz w:val="18"/>
              </w:rPr>
              <w:t xml:space="preserve">= hectáreas por socio (`R/Q`): ≥2 a 35; 0.5–2 a 50; &lt;0.5 a 65; </w:t>
            </w:r>
            <w:r>
              <w:rPr>
                <w:b/>
                <w:sz w:val="18"/>
              </w:rPr>
              <w:t>sin dato a 65</w:t>
            </w:r>
          </w:p>
        </w:tc>
        <w:tc>
          <w:tcPr>
            <w:tcW w:type="dxa" w:w="1020"/>
          </w:tcPr>
          <w:p>
            <w:r/>
            <w:r>
              <w:rPr>
                <w:b w:val="0"/>
                <w:sz w:val="18"/>
              </w:rPr>
              <w:t>`W`</w:t>
            </w:r>
          </w:p>
        </w:tc>
      </w:tr>
      <w:tr>
        <w:tc>
          <w:tcPr>
            <w:tcW w:type="dxa" w:w="2608"/>
          </w:tcPr>
          <w:p>
            <w:r/>
            <w:r>
              <w:rPr>
                <w:b w:val="0"/>
                <w:sz w:val="18"/>
              </w:rPr>
              <w:t>IV4 · Certificación/legalidad (proxy)</w:t>
            </w:r>
          </w:p>
        </w:tc>
        <w:tc>
          <w:tcPr>
            <w:tcW w:type="dxa" w:w="5329"/>
          </w:tcPr>
          <w:p>
            <w:r/>
            <w:r>
              <w:rPr>
                <w:b w:val="0"/>
                <w:sz w:val="18"/>
              </w:rPr>
              <w:t>= Cert = 0 a 70 / Cert &gt; 0 a 30</w:t>
            </w:r>
          </w:p>
        </w:tc>
        <w:tc>
          <w:tcPr>
            <w:tcW w:type="dxa" w:w="1020"/>
          </w:tcPr>
          <w:p>
            <w:r/>
            <w:r>
              <w:rPr>
                <w:b w:val="0"/>
                <w:sz w:val="18"/>
              </w:rPr>
              <w:t>`X`</w:t>
            </w:r>
          </w:p>
        </w:tc>
      </w:tr>
      <w:tr>
        <w:tc>
          <w:tcPr>
            <w:tcW w:type="dxa" w:w="2608"/>
          </w:tcPr>
          <w:p>
            <w:r/>
            <w:r>
              <w:rPr>
                <w:b w:val="0"/>
                <w:sz w:val="18"/>
              </w:rPr>
              <w:t>IV5 · Riesgo social (proxy)</w:t>
            </w:r>
          </w:p>
        </w:tc>
        <w:tc>
          <w:tcPr>
            <w:tcW w:type="dxa" w:w="5329"/>
          </w:tcPr>
          <w:p>
            <w:r/>
            <w:r>
              <w:rPr>
                <w:b w:val="0"/>
                <w:sz w:val="18"/>
              </w:rPr>
              <w:t>= tipo de organización (Asociación/Pendiente a 65, resto a 40)</w:t>
            </w:r>
          </w:p>
        </w:tc>
        <w:tc>
          <w:tcPr>
            <w:tcW w:type="dxa" w:w="1020"/>
          </w:tcPr>
          <w:p>
            <w:r/>
            <w:r>
              <w:rPr>
                <w:b w:val="0"/>
                <w:sz w:val="18"/>
              </w:rPr>
              <w:t>`Y`</w:t>
            </w:r>
          </w:p>
        </w:tc>
      </w:tr>
      <w:tr>
        <w:tc>
          <w:tcPr>
            <w:tcW w:type="dxa" w:w="2608"/>
          </w:tcPr>
          <w:p>
            <w:r/>
            <w:r>
              <w:rPr>
                <w:b/>
                <w:sz w:val="18"/>
              </w:rPr>
              <w:t>IV — Índice de Vulnerabilidad</w:t>
            </w:r>
          </w:p>
        </w:tc>
        <w:tc>
          <w:tcPr>
            <w:tcW w:type="dxa" w:w="5329"/>
          </w:tcPr>
          <w:p>
            <w:r/>
            <w:r>
              <w:rPr>
                <w:b w:val="0"/>
                <w:sz w:val="18"/>
              </w:rPr>
              <w:t>= promedio(IV1:IV5)</w:t>
            </w:r>
          </w:p>
        </w:tc>
        <w:tc>
          <w:tcPr>
            <w:tcW w:type="dxa" w:w="1020"/>
          </w:tcPr>
          <w:p>
            <w:r/>
            <w:r>
              <w:rPr>
                <w:b w:val="0"/>
                <w:sz w:val="18"/>
              </w:rPr>
              <w:t>`AA`</w:t>
            </w:r>
          </w:p>
        </w:tc>
      </w:tr>
      <w:tr>
        <w:tc>
          <w:tcPr>
            <w:tcW w:type="dxa" w:w="2608"/>
          </w:tcPr>
          <w:p>
            <w:r/>
            <w:r>
              <w:rPr>
                <w:b/>
                <w:sz w:val="18"/>
              </w:rPr>
              <w:t>RE — Riesgo de Exclusión</w:t>
            </w:r>
          </w:p>
        </w:tc>
        <w:tc>
          <w:tcPr>
            <w:tcW w:type="dxa" w:w="5329"/>
          </w:tcPr>
          <w:p>
            <w:r/>
            <w:r>
              <w:rPr>
                <w:b w:val="0"/>
                <w:sz w:val="18"/>
              </w:rPr>
              <w:t>= IV x (1 − IP/100)</w:t>
            </w:r>
          </w:p>
        </w:tc>
        <w:tc>
          <w:tcPr>
            <w:tcW w:type="dxa" w:w="1020"/>
          </w:tcPr>
          <w:p>
            <w:r/>
            <w:r>
              <w:rPr>
                <w:b w:val="0"/>
                <w:sz w:val="18"/>
              </w:rPr>
              <w:t>`AB`</w:t>
            </w:r>
          </w:p>
        </w:tc>
      </w:tr>
      <w:tr>
        <w:tc>
          <w:tcPr>
            <w:tcW w:type="dxa" w:w="2608"/>
          </w:tcPr>
          <w:p>
            <w:r/>
            <w:r>
              <w:rPr>
                <w:b w:val="0"/>
                <w:sz w:val="18"/>
              </w:rPr>
              <w:t>Tipología ISCAM 2x2</w:t>
            </w:r>
          </w:p>
        </w:tc>
        <w:tc>
          <w:tcPr>
            <w:tcW w:type="dxa" w:w="5329"/>
          </w:tcPr>
          <w:p>
            <w:r/>
            <w:r>
              <w:rPr>
                <w:b w:val="0"/>
                <w:sz w:val="18"/>
              </w:rPr>
              <w:t>corte IP = 50 x IV = 50 → Resilientes / Expuestas Adaptables / Riesgo Latente / Riesgo Crítico</w:t>
            </w:r>
          </w:p>
        </w:tc>
        <w:tc>
          <w:tcPr>
            <w:tcW w:type="dxa" w:w="1020"/>
          </w:tcPr>
          <w:p>
            <w:r/>
            <w:r>
              <w:rPr>
                <w:b w:val="0"/>
                <w:sz w:val="18"/>
              </w:rPr>
              <w:t>`AC`</w:t>
            </w:r>
          </w:p>
        </w:tc>
      </w:tr>
      <w:tr>
        <w:tc>
          <w:tcPr>
            <w:tcW w:type="dxa" w:w="2608"/>
          </w:tcPr>
          <w:p>
            <w:r/>
            <w:r>
              <w:rPr>
                <w:b w:val="0"/>
                <w:sz w:val="18"/>
              </w:rPr>
              <w:t>Banderas duras</w:t>
            </w:r>
          </w:p>
        </w:tc>
        <w:tc>
          <w:tcPr>
            <w:tcW w:type="dxa" w:w="5329"/>
          </w:tcPr>
          <w:p>
            <w:r/>
            <w:r>
              <w:rPr>
                <w:b w:val="0"/>
                <w:sz w:val="18"/>
              </w:rPr>
              <w:t>hoy: inh. vigente OSCE (D3 = 0); las banderas del Form D2.5b, D3.14i, D4.15a, D7.28, D10.36 y D15.60 se reportan aparte</w:t>
            </w:r>
          </w:p>
        </w:tc>
        <w:tc>
          <w:tcPr>
            <w:tcW w:type="dxa" w:w="1020"/>
          </w:tcPr>
          <w:p>
            <w:r/>
            <w:r>
              <w:rPr>
                <w:b w:val="0"/>
                <w:sz w:val="18"/>
              </w:rPr>
              <w:t>`AD`</w:t>
            </w:r>
          </w:p>
        </w:tc>
      </w:tr>
      <w:tr>
        <w:tc>
          <w:tcPr>
            <w:tcW w:type="dxa" w:w="2608"/>
          </w:tcPr>
          <w:p>
            <w:r/>
            <w:r>
              <w:rPr>
                <w:b w:val="0"/>
                <w:sz w:val="18"/>
              </w:rPr>
              <w:t>ISA-PV (Pacto Verde)</w:t>
            </w:r>
          </w:p>
        </w:tc>
        <w:tc>
          <w:tcPr>
            <w:tcW w:type="dxa" w:w="5329"/>
          </w:tcPr>
          <w:p>
            <w:r/>
            <w:r>
              <w:rPr>
                <w:b w:val="0"/>
                <w:sz w:val="18"/>
              </w:rPr>
              <w:t>= AVG(D12:D15) / 2 (`MATRIZ_174!AP`), escala 0–1</w:t>
            </w:r>
          </w:p>
        </w:tc>
        <w:tc>
          <w:tcPr>
            <w:tcW w:type="dxa" w:w="1020"/>
          </w:tcPr>
          <w:p>
            <w:r/>
            <w:r>
              <w:rPr>
                <w:b w:val="0"/>
                <w:sz w:val="18"/>
              </w:rPr>
              <w:t>`AI`</w:t>
            </w:r>
          </w:p>
        </w:tc>
      </w:tr>
      <w:tr>
        <w:tc>
          <w:tcPr>
            <w:tcW w:type="dxa" w:w="2608"/>
          </w:tcPr>
          <w:p>
            <w:r/>
            <w:r>
              <w:rPr>
                <w:b w:val="0"/>
                <w:sz w:val="18"/>
              </w:rPr>
              <w:t>P_Global (PVE)</w:t>
            </w:r>
          </w:p>
        </w:tc>
        <w:tc>
          <w:tcPr>
            <w:tcW w:type="dxa" w:w="5329"/>
          </w:tcPr>
          <w:p>
            <w:r/>
            <w:r>
              <w:rPr>
                <w:b w:val="0"/>
                <w:sz w:val="18"/>
              </w:rPr>
              <w:t xml:space="preserve">= promedio P1:P14 (`MATRIZ_174!AO`) — </w:t>
            </w:r>
            <w:r>
              <w:rPr>
                <w:b/>
                <w:sz w:val="18"/>
              </w:rPr>
              <w:t>no compone ISA-Completo</w:t>
            </w:r>
            <w:r>
              <w:rPr>
                <w:b w:val="0"/>
                <w:sz w:val="18"/>
              </w:rPr>
              <w:t xml:space="preserve"> (decisión documentada)</w:t>
            </w:r>
          </w:p>
        </w:tc>
        <w:tc>
          <w:tcPr>
            <w:tcW w:type="dxa" w:w="1020"/>
          </w:tcPr>
          <w:p>
            <w:r/>
            <w:r>
              <w:rPr>
                <w:b w:val="0"/>
                <w:sz w:val="18"/>
              </w:rPr>
              <w:t>`AJ`</w:t>
            </w:r>
          </w:p>
        </w:tc>
      </w:tr>
      <w:tr>
        <w:tc>
          <w:tcPr>
            <w:tcW w:type="dxa" w:w="2608"/>
          </w:tcPr>
          <w:p>
            <w:r/>
            <w:r>
              <w:rPr>
                <w:b/>
                <w:sz w:val="18"/>
              </w:rPr>
              <w:t>ISA-EUDR</w:t>
            </w:r>
          </w:p>
        </w:tc>
        <w:tc>
          <w:tcPr>
            <w:tcW w:type="dxa" w:w="5329"/>
          </w:tcPr>
          <w:p>
            <w:r/>
            <w:r>
              <w:rPr>
                <w:b w:val="0"/>
                <w:sz w:val="18"/>
              </w:rPr>
              <w:t>= 0.875 x (D1·D2·D3·D4·D5·D6·D7)^(1/7) + 0.125 x ((D8+D9)/2)</w:t>
            </w:r>
          </w:p>
        </w:tc>
        <w:tc>
          <w:tcPr>
            <w:tcW w:type="dxa" w:w="1020"/>
          </w:tcPr>
          <w:p>
            <w:r/>
            <w:r>
              <w:rPr>
                <w:b w:val="0"/>
                <w:sz w:val="18"/>
              </w:rPr>
              <w:t>`AK`</w:t>
            </w:r>
          </w:p>
        </w:tc>
      </w:tr>
      <w:tr>
        <w:tc>
          <w:tcPr>
            <w:tcW w:type="dxa" w:w="2608"/>
          </w:tcPr>
          <w:p>
            <w:r/>
            <w:r>
              <w:rPr>
                <w:b/>
                <w:sz w:val="18"/>
              </w:rPr>
              <w:t>ISA-Completo</w:t>
            </w:r>
          </w:p>
        </w:tc>
        <w:tc>
          <w:tcPr>
            <w:tcW w:type="dxa" w:w="5329"/>
          </w:tcPr>
          <w:p>
            <w:r/>
            <w:r>
              <w:rPr>
                <w:b w:val="0"/>
                <w:sz w:val="18"/>
              </w:rPr>
              <w:t>= 0.70 x ISA-EUDR + 0.30 x ISA-PV x 100</w:t>
            </w:r>
          </w:p>
        </w:tc>
        <w:tc>
          <w:tcPr>
            <w:tcW w:type="dxa" w:w="1020"/>
          </w:tcPr>
          <w:p>
            <w:r/>
            <w:r>
              <w:rPr>
                <w:b w:val="0"/>
                <w:sz w:val="18"/>
              </w:rPr>
              <w:t>`AL`</w:t>
            </w:r>
          </w:p>
        </w:tc>
      </w:tr>
    </w:tbl>
    <w:p>
      <w:pPr>
        <w:spacing w:after="40"/>
      </w:pPr>
    </w:p>
    <w:p>
      <w:pPr>
        <w:pStyle w:val="Heading2"/>
      </w:pPr>
      <w:r>
        <w:t>2.3 Pesos y reglas de agregación</w:t>
      </w:r>
    </w:p>
    <w:p>
      <w:pPr>
        <w:pStyle w:val="ListBullet"/>
        <w:spacing w:after="60"/>
      </w:pPr>
      <w:r>
        <w:rPr>
          <w:b/>
          <w:sz w:val="20"/>
        </w:rPr>
        <w:t>ISA-EUDR (D1–D9):</w:t>
      </w:r>
      <w:r>
        <w:rPr>
          <w:b w:val="0"/>
          <w:sz w:val="20"/>
        </w:rPr>
        <w:t xml:space="preserve"> núcleo D1–D7 con peso agregado de 87.5% por media geométrica (las dimensiones núcleo no son sustitutas: un cero en diligencia debida no se compensa con buena geolocalización — precedente IDH-PNUD 2010) y extendido D8–D9 con 12.5% por media aritmética (son moduladoras y no deben anular el índice solas).</w:t>
      </w:r>
    </w:p>
    <w:p>
      <w:pPr>
        <w:pStyle w:val="ListBullet"/>
        <w:spacing w:after="60"/>
      </w:pPr>
      <w:r>
        <w:rPr>
          <w:b/>
          <w:sz w:val="20"/>
        </w:rPr>
        <w:t>ISA-PactoVerde (D12–D15):</w:t>
      </w:r>
      <w:r>
        <w:rPr>
          <w:b w:val="0"/>
          <w:sz w:val="20"/>
        </w:rPr>
        <w:t xml:space="preserve"> media aritmética simple por dimensión y entre las cuatro; los módulos son complementarios (la huella informa el reporte, la circularidad reduce la huella, el fitosanitario protege el mismo mercado), no sustitutas estrictas.</w:t>
      </w:r>
    </w:p>
    <w:p>
      <w:pPr>
        <w:pStyle w:val="ListBullet"/>
        <w:spacing w:after="60"/>
      </w:pPr>
      <w:r>
        <w:rPr>
          <w:b/>
          <w:sz w:val="20"/>
        </w:rPr>
        <w:t>ISA-Completo:</w:t>
      </w:r>
      <w:r>
        <w:rPr>
          <w:b w:val="0"/>
          <w:sz w:val="20"/>
        </w:rPr>
        <w:t xml:space="preserve"> 70% ISA-EUDR + 30% ISA-PV. El acceso al mercado UE lo decide el EUDR; la competitividad de largo plazo depende del Pacto Verde completo. Pesos a validar con el piloto (análisis de sensibilidad).</w:t>
      </w:r>
    </w:p>
    <w:p>
      <w:pPr>
        <w:pStyle w:val="ListBullet"/>
        <w:spacing w:after="60"/>
      </w:pPr>
      <w:r>
        <w:rPr>
          <w:b/>
          <w:sz w:val="20"/>
        </w:rPr>
        <w:t>IP:</w:t>
      </w:r>
      <w:r>
        <w:rPr>
          <w:b w:val="0"/>
          <w:sz w:val="20"/>
        </w:rPr>
        <w:t xml:space="preserve"> 20% a cada una de las 5 sub-dimensiones (pesos iguales por defecto OECD/JRC; pendiente panel AHP).</w:t>
      </w:r>
    </w:p>
    <w:p>
      <w:pPr>
        <w:pStyle w:val="ListBullet"/>
        <w:spacing w:after="60"/>
      </w:pPr>
      <w:r>
        <w:rPr>
          <w:b/>
          <w:sz w:val="20"/>
        </w:rPr>
        <w:t>IV:</w:t>
      </w:r>
      <w:r>
        <w:rPr>
          <w:b w:val="0"/>
          <w:sz w:val="20"/>
        </w:rPr>
        <w:t xml:space="preserve"> promedio simple de las 5 sub-dimensiones.</w:t>
      </w:r>
    </w:p>
    <w:p>
      <w:pPr>
        <w:pStyle w:val="ListBullet"/>
        <w:spacing w:after="60"/>
      </w:pPr>
      <w:r>
        <w:rPr>
          <w:b/>
          <w:sz w:val="20"/>
        </w:rPr>
        <w:t>Índice PVE (`PONDERADORES`):</w:t>
      </w:r>
      <w:r>
        <w:rPr>
          <w:b w:val="0"/>
          <w:sz w:val="20"/>
        </w:rPr>
        <w:t xml:space="preserve"> EXP_UE 25% · TRAZA 20% · DILIG 15% · CAPAC 10% · PRESION 15% · CERTIF 10% · ENVASES/PPWR 5%.</w:t>
      </w:r>
    </w:p>
    <w:p>
      <w:pPr>
        <w:pStyle w:val="Heading2"/>
      </w:pPr>
      <w:r>
        <w:t>2.4 Escalas y normalización</w:t>
      </w:r>
    </w:p>
    <w:tbl>
      <w:tblPr>
        <w:tblStyle w:val="TableGrid"/>
        <w:tblW w:type="auto" w:w="0"/>
        <w:tblLook w:firstColumn="1" w:firstRow="1" w:lastColumn="0" w:lastRow="0" w:noHBand="0" w:noVBand="1" w:val="04A0"/>
      </w:tblPr>
      <w:tblGrid>
        <w:gridCol w:w="2880"/>
        <w:gridCol w:w="2880"/>
        <w:gridCol w:w="2880"/>
      </w:tblGrid>
      <w:tr>
        <w:tc>
          <w:tcPr>
            <w:tcW w:type="dxa" w:w="1474"/>
            <w:shd w:val="clear" w:fill="D9E2F3"/>
          </w:tcPr>
          <w:p>
            <w:r>
              <w:rPr>
                <w:b/>
              </w:rPr>
            </w:r>
            <w:r>
              <w:rPr>
                <w:b/>
                <w:sz w:val="18"/>
              </w:rPr>
              <w:t>Escala</w:t>
            </w:r>
          </w:p>
        </w:tc>
        <w:tc>
          <w:tcPr>
            <w:tcW w:type="dxa" w:w="4649"/>
            <w:shd w:val="clear" w:fill="D9E2F3"/>
          </w:tcPr>
          <w:p>
            <w:r>
              <w:rPr>
                <w:b/>
              </w:rPr>
            </w:r>
            <w:r>
              <w:rPr>
                <w:b/>
                <w:sz w:val="18"/>
              </w:rPr>
              <w:t>Dónde</w:t>
            </w:r>
          </w:p>
        </w:tc>
        <w:tc>
          <w:tcPr>
            <w:tcW w:type="dxa" w:w="3175"/>
            <w:shd w:val="clear" w:fill="D9E2F3"/>
          </w:tcPr>
          <w:p>
            <w:r>
              <w:rPr>
                <w:b/>
              </w:rPr>
            </w:r>
            <w:r>
              <w:rPr>
                <w:b/>
                <w:sz w:val="18"/>
              </w:rPr>
              <w:t>Normalización</w:t>
            </w:r>
          </w:p>
        </w:tc>
      </w:tr>
      <w:tr>
        <w:tc>
          <w:tcPr>
            <w:tcW w:type="dxa" w:w="1474"/>
          </w:tcPr>
          <w:p>
            <w:r/>
            <w:r>
              <w:rPr>
                <w:b w:val="0"/>
                <w:sz w:val="18"/>
              </w:rPr>
              <w:t>0–4 (Form)</w:t>
            </w:r>
          </w:p>
        </w:tc>
        <w:tc>
          <w:tcPr>
            <w:tcW w:type="dxa" w:w="4649"/>
          </w:tcPr>
          <w:p>
            <w:r/>
            <w:r>
              <w:rPr>
                <w:b w:val="0"/>
                <w:sz w:val="18"/>
              </w:rPr>
              <w:t>Preguntas de escala del Form</w:t>
            </w:r>
          </w:p>
        </w:tc>
        <w:tc>
          <w:tcPr>
            <w:tcW w:type="dxa" w:w="3175"/>
          </w:tcPr>
          <w:p>
            <w:r/>
            <w:r>
              <w:rPr>
                <w:b w:val="0"/>
                <w:sz w:val="18"/>
              </w:rPr>
              <w:t>x25 → 0–100</w:t>
            </w:r>
          </w:p>
        </w:tc>
      </w:tr>
      <w:tr>
        <w:tc>
          <w:tcPr>
            <w:tcW w:type="dxa" w:w="1474"/>
          </w:tcPr>
          <w:p>
            <w:r/>
            <w:r>
              <w:rPr>
                <w:b w:val="0"/>
                <w:sz w:val="18"/>
              </w:rPr>
              <w:t>0 / 1 / 2</w:t>
            </w:r>
          </w:p>
        </w:tc>
        <w:tc>
          <w:tcPr>
            <w:tcW w:type="dxa" w:w="4649"/>
          </w:tcPr>
          <w:p>
            <w:r/>
            <w:r>
              <w:rPr>
                <w:b w:val="0"/>
                <w:sz w:val="18"/>
              </w:rPr>
              <w:t>D12.42, D13.45, D14.51, D15.58 → `MATRIZ_174!W:Z`</w:t>
            </w:r>
          </w:p>
        </w:tc>
        <w:tc>
          <w:tcPr>
            <w:tcW w:type="dxa" w:w="3175"/>
          </w:tcPr>
          <w:p>
            <w:r/>
            <w:r>
              <w:rPr>
                <w:b w:val="0"/>
                <w:sz w:val="18"/>
              </w:rPr>
              <w:t>/2 → 0–1 (ISA-PV en `AI`); x100 al componer 30% de ISA-Completo</w:t>
            </w:r>
          </w:p>
        </w:tc>
      </w:tr>
      <w:tr>
        <w:tc>
          <w:tcPr>
            <w:tcW w:type="dxa" w:w="1474"/>
          </w:tcPr>
          <w:p>
            <w:r/>
            <w:r>
              <w:rPr>
                <w:b w:val="0"/>
                <w:sz w:val="18"/>
              </w:rPr>
              <w:t>0–100</w:t>
            </w:r>
          </w:p>
        </w:tc>
        <w:tc>
          <w:tcPr>
            <w:tcW w:type="dxa" w:w="4649"/>
          </w:tcPr>
          <w:p>
            <w:r/>
            <w:r>
              <w:rPr>
                <w:b w:val="0"/>
                <w:sz w:val="18"/>
              </w:rPr>
              <w:t>ISA-EUDR, ISA-Completo, IP, IV, dimensiones, semáforo (cortes 34 y 67)</w:t>
            </w:r>
          </w:p>
        </w:tc>
        <w:tc>
          <w:tcPr>
            <w:tcW w:type="dxa" w:w="3175"/>
          </w:tcPr>
          <w:p>
            <w:r/>
            <w:r>
              <w:rPr>
                <w:b w:val="0"/>
                <w:sz w:val="18"/>
              </w:rPr>
              <w:t>nativa</w:t>
            </w:r>
          </w:p>
        </w:tc>
      </w:tr>
      <w:tr>
        <w:tc>
          <w:tcPr>
            <w:tcW w:type="dxa" w:w="1474"/>
          </w:tcPr>
          <w:p>
            <w:r/>
            <w:r>
              <w:rPr>
                <w:b w:val="0"/>
                <w:sz w:val="18"/>
              </w:rPr>
              <w:t>0–1</w:t>
            </w:r>
          </w:p>
        </w:tc>
        <w:tc>
          <w:tcPr>
            <w:tcW w:type="dxa" w:w="4649"/>
          </w:tcPr>
          <w:p>
            <w:r/>
            <w:r>
              <w:rPr>
                <w:b w:val="0"/>
                <w:sz w:val="18"/>
              </w:rPr>
              <w:t>ISA-PV (`AI`), `MATRIZ_174!AP`</w:t>
            </w:r>
          </w:p>
        </w:tc>
        <w:tc>
          <w:tcPr>
            <w:tcW w:type="dxa" w:w="3175"/>
          </w:tcPr>
          <w:p>
            <w:r/>
            <w:r>
              <w:rPr>
                <w:b w:val="0"/>
                <w:sz w:val="18"/>
              </w:rPr>
              <w:t>se multiplica por 100 solo al entrar en `AL`</w:t>
            </w:r>
          </w:p>
        </w:tc>
      </w:tr>
      <w:tr>
        <w:tc>
          <w:tcPr>
            <w:tcW w:type="dxa" w:w="1474"/>
          </w:tcPr>
          <w:p>
            <w:r/>
            <w:r>
              <w:rPr>
                <w:b w:val="0"/>
                <w:sz w:val="18"/>
              </w:rPr>
              <w:t>Proxy</w:t>
            </w:r>
          </w:p>
        </w:tc>
        <w:tc>
          <w:tcPr>
            <w:tcW w:type="dxa" w:w="4649"/>
          </w:tcPr>
          <w:p>
            <w:r/>
            <w:r>
              <w:rPr>
                <w:b w:val="0"/>
                <w:sz w:val="18"/>
              </w:rPr>
              <w:t>`PREGUNTAS_PROXY` (columna E), umbrales 0.67 / 0.34</w:t>
            </w:r>
          </w:p>
        </w:tc>
        <w:tc>
          <w:tcPr>
            <w:tcW w:type="dxa" w:w="3175"/>
          </w:tcPr>
          <w:p>
            <w:r/>
            <w:r>
              <w:rPr>
                <w:b w:val="0"/>
                <w:sz w:val="18"/>
              </w:rPr>
              <w:t>verificación rápida; no alimenta el índice directamente</w:t>
            </w:r>
          </w:p>
        </w:tc>
      </w:tr>
    </w:tbl>
    <w:p>
      <w:pPr>
        <w:spacing w:after="40"/>
      </w:pPr>
    </w:p>
    <w:p>
      <w:pPr>
        <w:spacing w:after="120"/>
      </w:pPr>
      <w:r>
        <w:rPr>
          <w:b/>
        </w:rPr>
        <w:t>Corrección de escala aplicada el 2026-10-14:</w:t>
      </w:r>
      <w:r>
        <w:rPr>
          <w:b w:val="0"/>
        </w:rPr>
        <w:t xml:space="preserve"> antes, `AL = 0.7 x ISA-EUDR + 0.3 x ISA-PV` mezclaba 0–100 con 0–1, de modo que el componente Pacto Verde aportaba como máximo 0.3 puntos de 100. Ahora `AL = 0.7 x AK + 0.3 x AI x 100`.</w:t>
      </w:r>
    </w:p>
    <w:p>
      <w:pPr>
        <w:pStyle w:val="Heading2"/>
      </w:pPr>
      <w:r>
        <w:t>2.5 Semáforo y tipología de priorización</w:t>
      </w:r>
    </w:p>
    <w:p>
      <w:pPr>
        <w:pStyle w:val="ListBullet"/>
        <w:spacing w:after="60"/>
      </w:pPr>
      <w:r>
        <w:rPr>
          <w:b/>
          <w:sz w:val="20"/>
        </w:rPr>
        <w:t>Semáforo por organización</w:t>
      </w:r>
      <w:r>
        <w:rPr>
          <w:b w:val="0"/>
          <w:sz w:val="20"/>
        </w:rPr>
        <w:t xml:space="preserve"> (ISA-Completo): Crítico 0–33 · Vulnerable 34–66 · Preparado 67–100. Una sola taxonomía en `INSTRUCCIONES`, `SCORECARDS!D` y `MATRIZ_174!T`.</w:t>
      </w:r>
    </w:p>
    <w:p>
      <w:pPr>
        <w:pStyle w:val="ListBullet"/>
        <w:spacing w:after="60"/>
      </w:pPr>
      <w:r>
        <w:rPr>
          <w:b/>
          <w:sz w:val="20"/>
        </w:rPr>
        <w:t>Tipología 2x2 ISCAM</w:t>
      </w:r>
      <w:r>
        <w:rPr>
          <w:b w:val="0"/>
          <w:sz w:val="20"/>
        </w:rPr>
        <w:t xml:space="preserve"> (corte en IP = 50 x IV = 50): Resilientes (IP alto, IV bajo) · Expuestas Adaptables (IP alto, IV alto) · Riesgo Latente (IP bajo, IV bajo) · Riesgo Crítico de exclusión (IP bajo, IV alto). Es la matriz de priorización para acción, más simple de comunicar que un semáforo de 9 dimensiones.</w:t>
      </w:r>
    </w:p>
    <w:p>
      <w:pPr>
        <w:pStyle w:val="ListBullet"/>
        <w:spacing w:after="60"/>
      </w:pPr>
      <w:r>
        <w:rPr>
          <w:b/>
          <w:sz w:val="20"/>
        </w:rPr>
        <w:t>RE = IV x (1 − IP/100):</w:t>
      </w:r>
      <w:r>
        <w:rPr>
          <w:b w:val="0"/>
          <w:sz w:val="20"/>
        </w:rPr>
        <w:t xml:space="preserve"> operacionaliza que la preparación modera la vulnerabilidad (Hipótesis 3 del proyecto madre).</w:t>
      </w:r>
    </w:p>
    <w:p>
      <w:pPr>
        <w:pStyle w:val="ListBullet"/>
        <w:spacing w:after="60"/>
      </w:pPr>
      <w:r>
        <w:rPr>
          <w:b/>
          <w:sz w:val="20"/>
        </w:rPr>
        <w:t>Ranking</w:t>
      </w:r>
      <w:r>
        <w:rPr>
          <w:b w:val="0"/>
          <w:sz w:val="20"/>
        </w:rPr>
        <w:t xml:space="preserve"> por ISA-Completo en `SCORECARDS` para comparar organizaciones.</w:t>
      </w:r>
    </w:p>
    <w:p>
      <w:pPr>
        <w:pStyle w:val="Heading2"/>
      </w:pPr>
      <w:r>
        <w:t>2.6 Corte por producto: paridad café/cacao</w:t>
      </w:r>
    </w:p>
    <w:p>
      <w:pPr>
        <w:spacing w:after="120"/>
      </w:pPr>
      <w:r>
        <w:rPr>
          <w:b w:val="0"/>
        </w:rPr>
        <w:t>Bloque "CORTE POR PRODUCTO" en `RADAR_BRECHAS` (filas 28–35): conteos y promedios de ISA-EUDR, ISA-PV, ISA-Completo, IP, IV y RE para CAFÉ, CACAO y "sin producto registrado", más un semáforo de paridad: si la brecha de ISA-Completo entre café y cacao supera los 5 puntos, la hoja lo marca para revisar sesgo antes de publicar. Con el marco actual (80 / 83 / 10) la muestra está equilibrada; si el levantamiento introduce subrepresentación, se corrige la cuota muestral, no los resultados.</w:t>
      </w:r>
    </w:p>
    <w:p>
      <w:pPr>
        <w:pStyle w:val="Heading2"/>
      </w:pPr>
      <w:r>
        <w:t>2.7 Agregación territorial</w:t>
      </w:r>
    </w:p>
    <w:p>
      <w:pPr>
        <w:spacing w:after="120"/>
      </w:pPr>
      <w:r>
        <w:rPr>
          <w:b w:val="0"/>
        </w:rPr>
        <w:t>`RADAR_BRECHAS` promedia cada dimensión por departamento (41 celdas de promedio, 11 dimensiones x 15 departamentos, más la fila de promedios muestrales). D2/D5/D6 provienen de `SCORECARDS` (carga del Instrumento 2); D1, D3, D4 y D7–D11 de `ISCAM_Score`. Sin dato se muestra como 0 (gris): la ausencia de dato no implica cumplimiento. Los promedios se alinean por fila dentro de la misma hoja para evitar el desfase que tenía la versión anterior.</w:t>
      </w:r>
    </w:p>
    <w:p>
      <w:pPr>
        <w:pStyle w:val="Heading2"/>
      </w:pPr>
      <w:r>
        <w:t>2.8 Decisiones metodológicas registradas</w:t>
      </w:r>
    </w:p>
    <w:tbl>
      <w:tblPr>
        <w:tblStyle w:val="TableGrid"/>
        <w:tblW w:type="auto" w:w="0"/>
        <w:tblLook w:firstColumn="1" w:firstRow="1" w:lastColumn="0" w:lastRow="0" w:noHBand="0" w:noVBand="1" w:val="04A0"/>
      </w:tblPr>
      <w:tblGrid>
        <w:gridCol w:w="2880"/>
        <w:gridCol w:w="2880"/>
        <w:gridCol w:w="2880"/>
      </w:tblGrid>
      <w:tr>
        <w:tc>
          <w:tcPr>
            <w:tcW w:type="dxa" w:w="2494"/>
            <w:shd w:val="clear" w:fill="D9E2F3"/>
          </w:tcPr>
          <w:p>
            <w:r>
              <w:rPr>
                <w:b/>
              </w:rPr>
            </w:r>
            <w:r>
              <w:rPr>
                <w:b/>
                <w:sz w:val="18"/>
              </w:rPr>
              <w:t>Decisión</w:t>
            </w:r>
          </w:p>
        </w:tc>
        <w:tc>
          <w:tcPr>
            <w:tcW w:type="dxa" w:w="2381"/>
            <w:shd w:val="clear" w:fill="D9E2F3"/>
          </w:tcPr>
          <w:p>
            <w:r>
              <w:rPr>
                <w:b/>
              </w:rPr>
            </w:r>
            <w:r>
              <w:rPr>
                <w:b/>
                <w:sz w:val="18"/>
              </w:rPr>
              <w:t>Resolución</w:t>
            </w:r>
          </w:p>
        </w:tc>
        <w:tc>
          <w:tcPr>
            <w:tcW w:type="dxa" w:w="4535"/>
            <w:shd w:val="clear" w:fill="D9E2F3"/>
          </w:tcPr>
          <w:p>
            <w:r>
              <w:rPr>
                <w:b/>
              </w:rPr>
            </w:r>
            <w:r>
              <w:rPr>
                <w:b/>
                <w:sz w:val="18"/>
              </w:rPr>
              <w:t>Fundamento</w:t>
            </w:r>
          </w:p>
        </w:tc>
      </w:tr>
      <w:tr>
        <w:tc>
          <w:tcPr>
            <w:tcW w:type="dxa" w:w="2494"/>
          </w:tcPr>
          <w:p>
            <w:r/>
            <w:r>
              <w:rPr>
                <w:b w:val="0"/>
                <w:sz w:val="18"/>
              </w:rPr>
              <w:t>P_Global (indicadores PVE) dentro de ISA-Completo</w:t>
            </w:r>
          </w:p>
        </w:tc>
        <w:tc>
          <w:tcPr>
            <w:tcW w:type="dxa" w:w="2381"/>
          </w:tcPr>
          <w:p>
            <w:r/>
            <w:r>
              <w:rPr>
                <w:b/>
                <w:sz w:val="18"/>
              </w:rPr>
              <w:t>No entra.</w:t>
            </w:r>
            <w:r>
              <w:rPr>
                <w:b w:val="0"/>
                <w:sz w:val="18"/>
              </w:rPr>
              <w:t xml:space="preserve"> Queda como indicador de validación externa</w:t>
            </w:r>
          </w:p>
        </w:tc>
        <w:tc>
          <w:tcPr>
            <w:tcW w:type="dxa" w:w="4535"/>
          </w:tcPr>
          <w:p>
            <w:r/>
            <w:r>
              <w:rPr>
                <w:b w:val="0"/>
                <w:sz w:val="18"/>
              </w:rPr>
              <w:t>El índice es el regresor/predictor del objetivo (f) y la performance es la variable dependiente —incluirla sería circular—; ISCAM usa los indicadores de performance como validación externa (Fase 4, paso 12: certificaciones, % volumen trazable, continuidad exportadora, acceso a mercado UE); el impacto en performance ya está operacionalizado en RE = IV x (1 − IP/100)</w:t>
            </w:r>
          </w:p>
        </w:tc>
      </w:tr>
      <w:tr>
        <w:tc>
          <w:tcPr>
            <w:tcW w:type="dxa" w:w="2494"/>
          </w:tcPr>
          <w:p>
            <w:r/>
            <w:r>
              <w:rPr>
                <w:b w:val="0"/>
                <w:sz w:val="18"/>
              </w:rPr>
              <w:t>Etiqueta "D11 — Género e Inclusión" en `ISCAM_Score!O3`</w:t>
            </w:r>
          </w:p>
        </w:tc>
        <w:tc>
          <w:tcPr>
            <w:tcW w:type="dxa" w:w="2381"/>
          </w:tcPr>
          <w:p>
            <w:r/>
            <w:r>
              <w:rPr>
                <w:b/>
                <w:sz w:val="18"/>
              </w:rPr>
              <w:t>Renombrada a "D11 — Ecosistema (inventario, no promedia)"</w:t>
            </w:r>
          </w:p>
        </w:tc>
        <w:tc>
          <w:tcPr>
            <w:tcW w:type="dxa" w:w="4535"/>
          </w:tcPr>
          <w:p>
            <w:r/>
            <w:r>
              <w:rPr>
                <w:b w:val="0"/>
                <w:sz w:val="18"/>
              </w:rPr>
              <w:t>En el toolkit y en el proyecto madre el género no es una dimensión: es insumo de IV5 vía B0.12 (`Propuesta ISCAM - Indices IP-IV-RE`, sub-dimensión 5 "Riesgo social y comercial = D7 + fricción D8 + % mujeres en la directiva"). D11 es el ecosistema de apoyo externo del Form (D11.38–D11.39a)</w:t>
            </w:r>
          </w:p>
        </w:tc>
      </w:tr>
      <w:tr>
        <w:tc>
          <w:tcPr>
            <w:tcW w:type="dxa" w:w="2494"/>
          </w:tcPr>
          <w:p>
            <w:r/>
            <w:r>
              <w:rPr>
                <w:b w:val="0"/>
                <w:sz w:val="18"/>
              </w:rPr>
              <w:t>IV1–IV5 placeholders</w:t>
            </w:r>
          </w:p>
        </w:tc>
        <w:tc>
          <w:tcPr>
            <w:tcW w:type="dxa" w:w="2381"/>
          </w:tcPr>
          <w:p>
            <w:r/>
            <w:r>
              <w:rPr>
                <w:b w:val="0"/>
                <w:sz w:val="18"/>
              </w:rPr>
              <w:t>Proxies documentados, con definición de diseño pendiente de ingesta</w:t>
            </w:r>
          </w:p>
        </w:tc>
        <w:tc>
          <w:tcPr>
            <w:tcW w:type="dxa" w:w="4535"/>
          </w:tcPr>
          <w:p>
            <w:r/>
            <w:r>
              <w:rPr>
                <w:b w:val="0"/>
                <w:sz w:val="18"/>
              </w:rPr>
              <w:t>IV1 = exposición UE real (% FOB UE); IV3 = hectáreas por socio con umbrales y sin dato a 65; IV2/IV4/IV5 documentados en `PONDERADORES!B39–B43`. Al ingresar el Form se reescriben con B0.7/P1/P1b/P4/D7.26a (IV1), B0.4/B0.10/B0.11/B0.13/B0.14 (IV3) y B0.12 + D3.14i (IV4/IV5)</w:t>
            </w:r>
          </w:p>
        </w:tc>
      </w:tr>
      <w:tr>
        <w:tc>
          <w:tcPr>
            <w:tcW w:type="dxa" w:w="2494"/>
          </w:tcPr>
          <w:p>
            <w:r/>
            <w:r>
              <w:rPr>
                <w:b w:val="0"/>
                <w:sz w:val="18"/>
              </w:rPr>
              <w:t>Colisión de prefijos P (performance comercial vs indicadores PVE)</w:t>
            </w:r>
          </w:p>
        </w:tc>
        <w:tc>
          <w:tcPr>
            <w:tcW w:type="dxa" w:w="2381"/>
          </w:tcPr>
          <w:p>
            <w:r/>
            <w:r>
              <w:rPr>
                <w:b/>
                <w:sz w:val="18"/>
              </w:rPr>
              <w:t>Bloque R</w:t>
            </w:r>
            <w:r>
              <w:rPr>
                <w:b w:val="0"/>
                <w:sz w:val="18"/>
              </w:rPr>
              <w:t xml:space="preserve"> en el Form para los indicadores PVE</w:t>
            </w:r>
          </w:p>
        </w:tc>
        <w:tc>
          <w:tcPr>
            <w:tcW w:type="dxa" w:w="4535"/>
          </w:tcPr>
          <w:p>
            <w:r/>
            <w:r>
              <w:rPr>
                <w:b w:val="0"/>
                <w:sz w:val="18"/>
              </w:rPr>
              <w:t>Evita que "P1" signifique dos cosas distintas (volumen UE vs productividad USD/ha)</w:t>
            </w:r>
          </w:p>
        </w:tc>
      </w:tr>
    </w:tbl>
    <w:p>
      <w:pPr>
        <w:spacing w:after="40"/>
      </w:pPr>
    </w:p>
    <w:p>
      <w:r>
        <w:br w:type="page"/>
      </w:r>
    </w:p>
    <w:p>
      <w:pPr>
        <w:pStyle w:val="Heading1"/>
      </w:pPr>
      <w:r>
        <w:t>3. Estado de implementación y correcciones aplicadas</w:t>
      </w:r>
    </w:p>
    <w:p>
      <w:pPr>
        <w:spacing w:after="120"/>
      </w:pPr>
      <w:r>
        <w:rPr>
          <w:b w:val="0"/>
        </w:rPr>
        <w:t>La revisión célula por célula de la hoja de cálculo detectó 12 defectos. Al 2026-10-14, 10 están cerrados (corregidos o resueltos por decisión documentada) y queda uno pendiente, que depende de la existencias de datos reales:</w:t>
      </w:r>
    </w:p>
    <w:tbl>
      <w:tblPr>
        <w:tblStyle w:val="TableGrid"/>
        <w:tblW w:type="auto" w:w="0"/>
        <w:tblLook w:firstColumn="1" w:firstRow="1" w:lastColumn="0" w:lastRow="0" w:noHBand="0" w:noVBand="1" w:val="04A0"/>
      </w:tblPr>
      <w:tblGrid>
        <w:gridCol w:w="2160"/>
        <w:gridCol w:w="2160"/>
        <w:gridCol w:w="2160"/>
        <w:gridCol w:w="2160"/>
      </w:tblGrid>
      <w:tr>
        <w:tc>
          <w:tcPr>
            <w:tcW w:type="dxa" w:w="454"/>
            <w:shd w:val="clear" w:fill="D9E2F3"/>
          </w:tcPr>
          <w:p>
            <w:r>
              <w:rPr>
                <w:b/>
              </w:rPr>
            </w:r>
            <w:r>
              <w:rPr>
                <w:b/>
                <w:sz w:val="18"/>
              </w:rPr>
              <w:t>#</w:t>
            </w:r>
          </w:p>
        </w:tc>
        <w:tc>
          <w:tcPr>
            <w:tcW w:type="dxa" w:w="3742"/>
            <w:shd w:val="clear" w:fill="D9E2F3"/>
          </w:tcPr>
          <w:p>
            <w:r>
              <w:rPr>
                <w:b/>
              </w:rPr>
            </w:r>
            <w:r>
              <w:rPr>
                <w:b/>
                <w:sz w:val="18"/>
              </w:rPr>
              <w:t>Defecto</w:t>
            </w:r>
          </w:p>
        </w:tc>
        <w:tc>
          <w:tcPr>
            <w:tcW w:type="dxa" w:w="1361"/>
            <w:shd w:val="clear" w:fill="D9E2F3"/>
          </w:tcPr>
          <w:p>
            <w:r>
              <w:rPr>
                <w:b/>
              </w:rPr>
            </w:r>
            <w:r>
              <w:rPr>
                <w:b/>
                <w:sz w:val="18"/>
              </w:rPr>
              <w:t>Estado</w:t>
            </w:r>
          </w:p>
        </w:tc>
        <w:tc>
          <w:tcPr>
            <w:tcW w:type="dxa" w:w="3969"/>
            <w:shd w:val="clear" w:fill="D9E2F3"/>
          </w:tcPr>
          <w:p>
            <w:r>
              <w:rPr>
                <w:b/>
              </w:rPr>
            </w:r>
            <w:r>
              <w:rPr>
                <w:b/>
                <w:sz w:val="18"/>
              </w:rPr>
              <w:t>Corrección</w:t>
            </w:r>
          </w:p>
        </w:tc>
      </w:tr>
      <w:tr>
        <w:tc>
          <w:tcPr>
            <w:tcW w:type="dxa" w:w="454"/>
          </w:tcPr>
          <w:p>
            <w:r/>
            <w:r>
              <w:rPr>
                <w:b w:val="0"/>
                <w:sz w:val="18"/>
              </w:rPr>
              <w:t>1</w:t>
            </w:r>
          </w:p>
        </w:tc>
        <w:tc>
          <w:tcPr>
            <w:tcW w:type="dxa" w:w="3742"/>
          </w:tcPr>
          <w:p>
            <w:r/>
            <w:r>
              <w:rPr>
                <w:b w:val="0"/>
                <w:sz w:val="18"/>
              </w:rPr>
              <w:t>Fórmulas que no evaluaban en `PONDERADORES` (nombre español `PROMEDIO`, `RAIZ` como símbolo, nombres definidos inexistentes, referencias a celdas vacías)</w:t>
            </w:r>
          </w:p>
        </w:tc>
        <w:tc>
          <w:tcPr>
            <w:tcW w:type="dxa" w:w="1361"/>
          </w:tcPr>
          <w:p>
            <w:r/>
            <w:r>
              <w:rPr>
                <w:b w:val="0"/>
                <w:sz w:val="18"/>
              </w:rPr>
              <w:t>Corregido</w:t>
            </w:r>
          </w:p>
        </w:tc>
        <w:tc>
          <w:tcPr>
            <w:tcW w:type="dxa" w:w="3969"/>
          </w:tcPr>
          <w:p>
            <w:r/>
            <w:r>
              <w:rPr>
                <w:b w:val="0"/>
                <w:sz w:val="18"/>
              </w:rPr>
              <w:t>Celdas convertidas a texto documentado con referencia a la celda real de cálculo; `B26` (ISA-EUDR) completada; `B39–B43` documentan los proxies de IV1–IV5</w:t>
            </w:r>
          </w:p>
        </w:tc>
      </w:tr>
      <w:tr>
        <w:tc>
          <w:tcPr>
            <w:tcW w:type="dxa" w:w="454"/>
          </w:tcPr>
          <w:p>
            <w:r/>
            <w:r>
              <w:rPr>
                <w:b w:val="0"/>
                <w:sz w:val="18"/>
              </w:rPr>
              <w:t>2</w:t>
            </w:r>
          </w:p>
        </w:tc>
        <w:tc>
          <w:tcPr>
            <w:tcW w:type="dxa" w:w="3742"/>
          </w:tcPr>
          <w:p>
            <w:r/>
            <w:r>
              <w:rPr>
                <w:b w:val="0"/>
                <w:sz w:val="18"/>
              </w:rPr>
              <w:t>Desfase de dos filas en `MATRIZ_174!S/T` (la clasificación PVE mostraba la organización anterior)</w:t>
            </w:r>
          </w:p>
        </w:tc>
        <w:tc>
          <w:tcPr>
            <w:tcW w:type="dxa" w:w="1361"/>
          </w:tcPr>
          <w:p>
            <w:r/>
            <w:r>
              <w:rPr>
                <w:b w:val="0"/>
                <w:sz w:val="18"/>
              </w:rPr>
              <w:t>Corregido</w:t>
            </w:r>
          </w:p>
        </w:tc>
        <w:tc>
          <w:tcPr>
            <w:tcW w:type="dxa" w:w="3969"/>
          </w:tcPr>
          <w:p>
            <w:r/>
            <w:r>
              <w:rPr>
                <w:b w:val="0"/>
                <w:sz w:val="18"/>
              </w:rPr>
              <w:t>`S3:T176` referencian `SCORECARDS` de la misma fila</w:t>
            </w:r>
          </w:p>
        </w:tc>
      </w:tr>
      <w:tr>
        <w:tc>
          <w:tcPr>
            <w:tcW w:type="dxa" w:w="454"/>
          </w:tcPr>
          <w:p>
            <w:r/>
            <w:r>
              <w:rPr>
                <w:b w:val="0"/>
                <w:sz w:val="18"/>
              </w:rPr>
              <w:t>3</w:t>
            </w:r>
          </w:p>
        </w:tc>
        <w:tc>
          <w:tcPr>
            <w:tcW w:type="dxa" w:w="3742"/>
          </w:tcPr>
          <w:p>
            <w:r/>
            <w:r>
              <w:rPr>
                <w:b w:val="0"/>
                <w:sz w:val="18"/>
              </w:rPr>
              <w:t>Promedios muestrales que excluían la organización 174 (rango 4:176)</w:t>
            </w:r>
          </w:p>
        </w:tc>
        <w:tc>
          <w:tcPr>
            <w:tcW w:type="dxa" w:w="1361"/>
          </w:tcPr>
          <w:p>
            <w:r/>
            <w:r>
              <w:rPr>
                <w:b w:val="0"/>
                <w:sz w:val="18"/>
              </w:rPr>
              <w:t>Corregido</w:t>
            </w:r>
          </w:p>
        </w:tc>
        <w:tc>
          <w:tcPr>
            <w:tcW w:type="dxa" w:w="3969"/>
          </w:tcPr>
          <w:p>
            <w:r/>
            <w:r>
              <w:rPr>
                <w:b w:val="0"/>
                <w:sz w:val="18"/>
              </w:rPr>
              <w:t>`Z178`, `AA178`, `AB178`, `AL178` promedian 4:177</w:t>
            </w:r>
          </w:p>
        </w:tc>
      </w:tr>
      <w:tr>
        <w:tc>
          <w:tcPr>
            <w:tcW w:type="dxa" w:w="454"/>
          </w:tcPr>
          <w:p>
            <w:r/>
            <w:r>
              <w:rPr>
                <w:b w:val="0"/>
                <w:sz w:val="18"/>
              </w:rPr>
              <w:t>4</w:t>
            </w:r>
          </w:p>
        </w:tc>
        <w:tc>
          <w:tcPr>
            <w:tcW w:type="dxa" w:w="3742"/>
          </w:tcPr>
          <w:p>
            <w:r/>
            <w:r>
              <w:rPr>
                <w:b w:val="0"/>
                <w:sz w:val="18"/>
              </w:rPr>
              <w:t>`RADAR_BRECHAS` columna H (rotulada D7) promediaba D3 y la columna D cruzaba hojas con desfase de fila</w:t>
            </w:r>
          </w:p>
        </w:tc>
        <w:tc>
          <w:tcPr>
            <w:tcW w:type="dxa" w:w="1361"/>
          </w:tcPr>
          <w:p>
            <w:r/>
            <w:r>
              <w:rPr>
                <w:b w:val="0"/>
                <w:sz w:val="18"/>
              </w:rPr>
              <w:t>Corregido</w:t>
            </w:r>
          </w:p>
        </w:tc>
        <w:tc>
          <w:tcPr>
            <w:tcW w:type="dxa" w:w="3969"/>
          </w:tcPr>
          <w:p>
            <w:r/>
            <w:r>
              <w:rPr>
                <w:b w:val="0"/>
                <w:sz w:val="18"/>
              </w:rPr>
              <w:t>H promedia `ISCAM_Score!K` (D7); D y H usan criterios de la misma hoja</w:t>
            </w:r>
          </w:p>
        </w:tc>
      </w:tr>
      <w:tr>
        <w:tc>
          <w:tcPr>
            <w:tcW w:type="dxa" w:w="454"/>
          </w:tcPr>
          <w:p>
            <w:r/>
            <w:r>
              <w:rPr>
                <w:b w:val="0"/>
                <w:sz w:val="18"/>
              </w:rPr>
              <w:t>5</w:t>
            </w:r>
          </w:p>
        </w:tc>
        <w:tc>
          <w:tcPr>
            <w:tcW w:type="dxa" w:w="3742"/>
          </w:tcPr>
          <w:p>
            <w:r/>
            <w:r>
              <w:rPr>
                <w:b w:val="0"/>
                <w:sz w:val="18"/>
              </w:rPr>
              <w:t>Columnas B, E, I–L del radar en `=0` fijo (D1, D4, D8–D11 sin reporte)</w:t>
            </w:r>
          </w:p>
        </w:tc>
        <w:tc>
          <w:tcPr>
            <w:tcW w:type="dxa" w:w="1361"/>
          </w:tcPr>
          <w:p>
            <w:r/>
            <w:r>
              <w:rPr>
                <w:b w:val="0"/>
                <w:sz w:val="18"/>
              </w:rPr>
              <w:t>Corregido</w:t>
            </w:r>
          </w:p>
        </w:tc>
        <w:tc>
          <w:tcPr>
            <w:tcW w:type="dxa" w:w="3969"/>
          </w:tcPr>
          <w:p>
            <w:r/>
            <w:r>
              <w:rPr>
                <w:b w:val="0"/>
                <w:sz w:val="18"/>
              </w:rPr>
              <w:t>Conectadas a `ISCAM_Score!E/H/L/M/N/O` vía `AVERAGEIF`; fórmulas huérfanas eliminadas</w:t>
            </w:r>
          </w:p>
        </w:tc>
      </w:tr>
      <w:tr>
        <w:tc>
          <w:tcPr>
            <w:tcW w:type="dxa" w:w="454"/>
          </w:tcPr>
          <w:p>
            <w:r/>
            <w:r>
              <w:rPr>
                <w:b w:val="0"/>
                <w:sz w:val="18"/>
              </w:rPr>
              <w:t>6</w:t>
            </w:r>
          </w:p>
        </w:tc>
        <w:tc>
          <w:tcPr>
            <w:tcW w:type="dxa" w:w="3742"/>
          </w:tcPr>
          <w:p>
            <w:r/>
            <w:r>
              <w:rPr>
                <w:b w:val="0"/>
                <w:sz w:val="18"/>
              </w:rPr>
              <w:t>Error de escala en ISA-Completo (PV en 0–1 contra EUDR en 0–100)</w:t>
            </w:r>
          </w:p>
        </w:tc>
        <w:tc>
          <w:tcPr>
            <w:tcW w:type="dxa" w:w="1361"/>
          </w:tcPr>
          <w:p>
            <w:r/>
            <w:r>
              <w:rPr>
                <w:b w:val="0"/>
                <w:sz w:val="18"/>
              </w:rPr>
              <w:t>Corregido</w:t>
            </w:r>
          </w:p>
        </w:tc>
        <w:tc>
          <w:tcPr>
            <w:tcW w:type="dxa" w:w="3969"/>
          </w:tcPr>
          <w:p>
            <w:r/>
            <w:r>
              <w:rPr>
                <w:b w:val="0"/>
                <w:sz w:val="18"/>
              </w:rPr>
              <w:t>`AL = 0.7 x AK + 0.3 x AI x 100`</w:t>
            </w:r>
          </w:p>
        </w:tc>
      </w:tr>
      <w:tr>
        <w:tc>
          <w:tcPr>
            <w:tcW w:type="dxa" w:w="454"/>
          </w:tcPr>
          <w:p>
            <w:r/>
            <w:r>
              <w:rPr>
                <w:b w:val="0"/>
                <w:sz w:val="18"/>
              </w:rPr>
              <w:t>7</w:t>
            </w:r>
          </w:p>
        </w:tc>
        <w:tc>
          <w:tcPr>
            <w:tcW w:type="dxa" w:w="3742"/>
          </w:tcPr>
          <w:p>
            <w:r/>
            <w:r>
              <w:rPr>
                <w:b w:val="0"/>
                <w:sz w:val="18"/>
              </w:rPr>
              <w:t>IV1–IV5 placeholders incoherentes (IV1 multiplicaba una escala 0–1 por 50; IV3 trataba "sin hectáreas" como bajo riesgo)</w:t>
            </w:r>
          </w:p>
        </w:tc>
        <w:tc>
          <w:tcPr>
            <w:tcW w:type="dxa" w:w="1361"/>
          </w:tcPr>
          <w:p>
            <w:r/>
            <w:r>
              <w:rPr>
                <w:b w:val="0"/>
                <w:sz w:val="18"/>
              </w:rPr>
              <w:t>Corregido</w:t>
            </w:r>
          </w:p>
        </w:tc>
        <w:tc>
          <w:tcPr>
            <w:tcW w:type="dxa" w:w="3969"/>
          </w:tcPr>
          <w:p>
            <w:r/>
            <w:r>
              <w:rPr>
                <w:b w:val="0"/>
                <w:sz w:val="18"/>
              </w:rPr>
              <w:t>IV1 = exposición UE real; IV3 = ha/socio con umbrales y sin dato a 65</w:t>
            </w:r>
          </w:p>
        </w:tc>
      </w:tr>
      <w:tr>
        <w:tc>
          <w:tcPr>
            <w:tcW w:type="dxa" w:w="454"/>
          </w:tcPr>
          <w:p>
            <w:r/>
            <w:r>
              <w:rPr>
                <w:b w:val="0"/>
                <w:sz w:val="18"/>
              </w:rPr>
              <w:t>8</w:t>
            </w:r>
          </w:p>
        </w:tc>
        <w:tc>
          <w:tcPr>
            <w:tcW w:type="dxa" w:w="3742"/>
          </w:tcPr>
          <w:p>
            <w:r/>
            <w:r>
              <w:rPr>
                <w:b w:val="0"/>
                <w:sz w:val="18"/>
              </w:rPr>
              <w:t>Colisiones semánticas de nombres (D11, prefijo P, D14/D8, tres taxonomías de semáforo)</w:t>
            </w:r>
          </w:p>
        </w:tc>
        <w:tc>
          <w:tcPr>
            <w:tcW w:type="dxa" w:w="1361"/>
          </w:tcPr>
          <w:p>
            <w:r/>
            <w:r>
              <w:rPr>
                <w:b w:val="0"/>
                <w:sz w:val="18"/>
              </w:rPr>
              <w:t>Corregido</w:t>
            </w:r>
          </w:p>
        </w:tc>
        <w:tc>
          <w:tcPr>
            <w:tcW w:type="dxa" w:w="3969"/>
          </w:tcPr>
          <w:p>
            <w:r/>
            <w:r>
              <w:rPr>
                <w:b w:val="0"/>
                <w:sz w:val="18"/>
              </w:rPr>
              <w:t>`O3` renombrado; etiquetas de `PONDERADORES!B17/B18` desambiguadas; semáforo unificado; prefijo P resuelto con el Bloque R</w:t>
            </w:r>
          </w:p>
        </w:tc>
      </w:tr>
      <w:tr>
        <w:tc>
          <w:tcPr>
            <w:tcW w:type="dxa" w:w="454"/>
          </w:tcPr>
          <w:p>
            <w:r/>
            <w:r>
              <w:rPr>
                <w:b w:val="0"/>
                <w:sz w:val="18"/>
              </w:rPr>
              <w:t>9</w:t>
            </w:r>
          </w:p>
        </w:tc>
        <w:tc>
          <w:tcPr>
            <w:tcW w:type="dxa" w:w="3742"/>
          </w:tcPr>
          <w:p>
            <w:r/>
            <w:r>
              <w:rPr>
                <w:b w:val="0"/>
                <w:sz w:val="18"/>
              </w:rPr>
              <w:t>Falta la capa de ingesta (codificación 0-4 a 0-100 y carga con join por RUC)</w:t>
            </w:r>
          </w:p>
        </w:tc>
        <w:tc>
          <w:tcPr>
            <w:tcW w:type="dxa" w:w="1361"/>
          </w:tcPr>
          <w:p>
            <w:r/>
            <w:r>
              <w:rPr>
                <w:b/>
                <w:sz w:val="18"/>
              </w:rPr>
              <w:t>Pendiente</w:t>
            </w:r>
          </w:p>
        </w:tc>
        <w:tc>
          <w:tcPr>
            <w:tcW w:type="dxa" w:w="3969"/>
          </w:tcPr>
          <w:p>
            <w:r/>
            <w:r>
              <w:rPr>
                <w:b w:val="0"/>
                <w:sz w:val="18"/>
              </w:rPr>
              <w:t>D1/D4/D7–D11 siguen como constantes 0 hasta ingresar el Instrumento 2; la pestaña `INSTRUMENTO_2_PREGUNTAS` es el mapa de carga</w:t>
            </w:r>
          </w:p>
        </w:tc>
      </w:tr>
      <w:tr>
        <w:tc>
          <w:tcPr>
            <w:tcW w:type="dxa" w:w="454"/>
          </w:tcPr>
          <w:p>
            <w:r/>
            <w:r>
              <w:rPr>
                <w:b w:val="0"/>
                <w:sz w:val="18"/>
              </w:rPr>
              <w:t>10</w:t>
            </w:r>
          </w:p>
        </w:tc>
        <w:tc>
          <w:tcPr>
            <w:tcW w:type="dxa" w:w="3742"/>
          </w:tcPr>
          <w:p>
            <w:r/>
            <w:r>
              <w:rPr>
                <w:b w:val="0"/>
                <w:sz w:val="18"/>
              </w:rPr>
              <w:t>Datos sucios (`'Si '` con espacio, `'En '` fuera de dominio, `'nan'`, 76 celdas de `SCORECARDS!F` escritas a mano)</w:t>
            </w:r>
          </w:p>
        </w:tc>
        <w:tc>
          <w:tcPr>
            <w:tcW w:type="dxa" w:w="1361"/>
          </w:tcPr>
          <w:p>
            <w:r/>
            <w:r>
              <w:rPr>
                <w:b w:val="0"/>
                <w:sz w:val="18"/>
              </w:rPr>
              <w:t>Corregido</w:t>
            </w:r>
          </w:p>
        </w:tc>
        <w:tc>
          <w:tcPr>
            <w:tcW w:type="dxa" w:w="3969"/>
          </w:tcPr>
          <w:p>
            <w:r/>
            <w:r>
              <w:rPr>
                <w:b w:val="0"/>
                <w:sz w:val="18"/>
              </w:rPr>
              <w:t>Limpieza con verificación contra respaldo: las 76 celdas ahora son fórmula con valores idénticos</w:t>
            </w:r>
          </w:p>
        </w:tc>
      </w:tr>
      <w:tr>
        <w:tc>
          <w:tcPr>
            <w:tcW w:type="dxa" w:w="454"/>
          </w:tcPr>
          <w:p>
            <w:r/>
            <w:r>
              <w:rPr>
                <w:b w:val="0"/>
                <w:sz w:val="18"/>
              </w:rPr>
              <w:t>11</w:t>
            </w:r>
          </w:p>
        </w:tc>
        <w:tc>
          <w:tcPr>
            <w:tcW w:type="dxa" w:w="3742"/>
          </w:tcPr>
          <w:p>
            <w:r/>
            <w:r>
              <w:rPr>
                <w:b w:val="0"/>
                <w:sz w:val="18"/>
              </w:rPr>
              <w:t>`P_Global` calculado pero sin uso</w:t>
            </w:r>
          </w:p>
        </w:tc>
        <w:tc>
          <w:tcPr>
            <w:tcW w:type="dxa" w:w="1361"/>
          </w:tcPr>
          <w:p>
            <w:r/>
            <w:r>
              <w:rPr>
                <w:b w:val="0"/>
                <w:sz w:val="18"/>
              </w:rPr>
              <w:t>Resuelto (decisión)</w:t>
            </w:r>
          </w:p>
        </w:tc>
        <w:tc>
          <w:tcPr>
            <w:tcW w:type="dxa" w:w="3969"/>
          </w:tcPr>
          <w:p>
            <w:r/>
            <w:r>
              <w:rPr>
                <w:b w:val="0"/>
                <w:sz w:val="18"/>
              </w:rPr>
              <w:t>No entra en ISA-Completo: es la variable de validación externa del índice (§2.8)</w:t>
            </w:r>
          </w:p>
        </w:tc>
      </w:tr>
      <w:tr>
        <w:tc>
          <w:tcPr>
            <w:tcW w:type="dxa" w:w="454"/>
          </w:tcPr>
          <w:p>
            <w:r/>
            <w:r>
              <w:rPr>
                <w:b w:val="0"/>
                <w:sz w:val="18"/>
              </w:rPr>
              <w:t>12</w:t>
            </w:r>
          </w:p>
        </w:tc>
        <w:tc>
          <w:tcPr>
            <w:tcW w:type="dxa" w:w="3742"/>
          </w:tcPr>
          <w:p>
            <w:r/>
            <w:r>
              <w:rPr>
                <w:b w:val="0"/>
                <w:sz w:val="18"/>
              </w:rPr>
              <w:t>Semáforo "— Sin Inst.2" en las 174 organizaciones</w:t>
            </w:r>
          </w:p>
        </w:tc>
        <w:tc>
          <w:tcPr>
            <w:tcW w:type="dxa" w:w="1361"/>
          </w:tcPr>
          <w:p>
            <w:r/>
            <w:r>
              <w:rPr>
                <w:b w:val="0"/>
                <w:sz w:val="18"/>
              </w:rPr>
              <w:t>Esperado</w:t>
            </w:r>
          </w:p>
        </w:tc>
        <w:tc>
          <w:tcPr>
            <w:tcW w:type="dxa" w:w="3969"/>
          </w:tcPr>
          <w:p>
            <w:r/>
            <w:r>
              <w:rPr>
                <w:b w:val="0"/>
                <w:sz w:val="18"/>
              </w:rPr>
              <w:t>Etiqueta correcta mientras no haya carga del Instrumento 2</w:t>
            </w:r>
          </w:p>
        </w:tc>
      </w:tr>
    </w:tbl>
    <w:p>
      <w:pPr>
        <w:spacing w:after="40"/>
      </w:pPr>
    </w:p>
    <w:p>
      <w:pPr>
        <w:pStyle w:val="Heading1"/>
      </w:pPr>
      <w:r>
        <w:t>4. Validación y robustez</w:t>
      </w:r>
    </w:p>
    <w:p>
      <w:pPr>
        <w:pStyle w:val="ListBullet"/>
        <w:spacing w:after="60"/>
      </w:pPr>
      <w:r>
        <w:rPr>
          <w:b/>
          <w:sz w:val="20"/>
        </w:rPr>
        <w:t>Consistencia interna:</w:t>
      </w:r>
      <w:r>
        <w:rPr>
          <w:b w:val="0"/>
          <w:sz w:val="20"/>
        </w:rPr>
        <w:t xml:space="preserve"> alfa de Cronbach por dimensión con los datos del piloto; un alfa &lt; 0.6 obliga a revisar la redacción antes de escalar.</w:t>
      </w:r>
    </w:p>
    <w:p>
      <w:pPr>
        <w:pStyle w:val="ListBullet"/>
        <w:spacing w:after="60"/>
      </w:pPr>
      <w:r>
        <w:rPr>
          <w:b/>
          <w:sz w:val="20"/>
        </w:rPr>
        <w:t>Estructura multivariada:</w:t>
      </w:r>
      <w:r>
        <w:rPr>
          <w:b w:val="0"/>
          <w:sz w:val="20"/>
        </w:rPr>
        <w:t xml:space="preserve"> PCA sobre D1–D15 con la primera ronda completa para verificar el supuesto de pesos iguales.</w:t>
      </w:r>
    </w:p>
    <w:p>
      <w:pPr>
        <w:pStyle w:val="ListBullet"/>
        <w:spacing w:after="60"/>
      </w:pPr>
      <w:r>
        <w:rPr>
          <w:b/>
          <w:sz w:val="20"/>
        </w:rPr>
        <w:t>Sensibilidad:</w:t>
      </w:r>
      <w:r>
        <w:rPr>
          <w:b w:val="0"/>
          <w:sz w:val="20"/>
        </w:rPr>
        <w:t xml:space="preserve"> recálculo con media aritmética vs. geométrica; con pesos iguales entre las 9 dimensiones; con pesos alternativos 70/30 (80/20, 60/40, 50/50); y con la regla estricta de datos faltantes vs. la re-ponderación. Correlación de rangos (Spearman) en cada caso.</w:t>
      </w:r>
    </w:p>
    <w:p>
      <w:pPr>
        <w:pStyle w:val="ListBullet"/>
        <w:spacing w:after="60"/>
      </w:pPr>
      <w:r>
        <w:rPr>
          <w:b/>
          <w:sz w:val="20"/>
        </w:rPr>
        <w:t>Bootstrap</w:t>
      </w:r>
      <w:r>
        <w:rPr>
          <w:b w:val="0"/>
          <w:sz w:val="20"/>
        </w:rPr>
        <w:t xml:space="preserve"> (B = 1000) para intervalos de confianza de ISA, IP, IV y RE por cooperativa y del ranking agregado, una vez exista la primera ronda completa.</w:t>
      </w:r>
    </w:p>
    <w:p>
      <w:pPr>
        <w:pStyle w:val="ListBullet"/>
        <w:spacing w:after="60"/>
      </w:pPr>
      <w:r>
        <w:rPr>
          <w:b/>
          <w:sz w:val="20"/>
        </w:rPr>
        <w:t>Calibración por raking</w:t>
      </w:r>
      <w:r>
        <w:rPr>
          <w:b w:val="0"/>
          <w:sz w:val="20"/>
        </w:rPr>
        <w:t xml:space="preserve"> (Deville &amp; Särndal, 1992) contra los totales marginales del universo (producto, tamaño, territorio) para reportar el ISA ajustado junto al sin ajustar.</w:t>
      </w:r>
    </w:p>
    <w:p>
      <w:pPr>
        <w:pStyle w:val="ListBullet"/>
        <w:spacing w:after="60"/>
      </w:pPr>
      <w:r>
        <w:rPr>
          <w:b/>
          <w:sz w:val="20"/>
        </w:rPr>
        <w:t>Validación externa del índice:</w:t>
      </w:r>
      <w:r>
        <w:rPr>
          <w:b w:val="0"/>
          <w:sz w:val="20"/>
        </w:rPr>
        <w:t xml:space="preserve"> correlacionar IP/RE contra certificaciones, % volumen trazable, continuidad exportadora y acceso a mercado UE (Fase 4, paso 12 de ISCAM) —donde entra `P_Global` y el Bloque P—.</w:t>
      </w:r>
    </w:p>
    <w:p>
      <w:pPr>
        <w:pStyle w:val="Heading1"/>
      </w:pPr>
      <w:r>
        <w:t>5. Trazabilidad y auditoría</w:t>
      </w:r>
    </w:p>
    <w:p>
      <w:pPr>
        <w:pStyle w:val="ListBullet"/>
        <w:spacing w:after="60"/>
      </w:pPr>
      <w:r>
        <w:rPr>
          <w:b w:val="0"/>
          <w:sz w:val="20"/>
        </w:rPr>
        <w:t>Cada pregunta del Form tiene una celda o columna de destino identificada: pestaña `INSTRUMENTO_2_PREGUNTAS` (119 filas) + Anexo v0.4 del documento del Form + §1.6 de este documento.</w:t>
      </w:r>
    </w:p>
    <w:p>
      <w:pPr>
        <w:pStyle w:val="ListBullet"/>
        <w:spacing w:after="60"/>
      </w:pPr>
      <w:r>
        <w:rPr>
          <w:b w:val="0"/>
          <w:sz w:val="20"/>
        </w:rPr>
        <w:t>Cada corrección de fórmula queda registrada con su celda en `Metodologia - Indice de Alineamiento (ISA) y Marco Muestral` §8 (Word y markdown) y en `PONDERADORES` (notas 2026-10-14, filas 48–50).</w:t>
      </w:r>
    </w:p>
    <w:p>
      <w:pPr>
        <w:pStyle w:val="ListBullet"/>
        <w:spacing w:after="60"/>
      </w:pPr>
      <w:r>
        <w:rPr>
          <w:b w:val="0"/>
          <w:sz w:val="20"/>
        </w:rPr>
        <w:t>Verificación programática del estado actual: 0 fórmulas inválidas en las 8 hojas; cobertura 174/174 organizaciones en IV1, IV3, ISA-Completo, clasificación PVE y scorecards; 165/165 celdas `AVERAGEIF` del radar; 119 preguntas únicas sin duplicados; 139 columnas en la Sheet de respuestas (`A` a `EI`).</w:t>
      </w:r>
    </w:p>
    <w:p>
      <w:pPr>
        <w:pStyle w:val="ListBullet"/>
        <w:spacing w:after="60"/>
      </w:pPr>
      <w:r>
        <w:rPr>
          <w:b w:val="0"/>
          <w:sz w:val="20"/>
        </w:rPr>
        <w:t>Respaldos fechados antes de cada intervención en `respaldos\` (workbook del 2026-10-14 previo a la pestaña de preguntas y a las correcciones de fórmulas; Word de metodología previo a §8–§9).</w:t>
      </w:r>
    </w:p>
    <w:p>
      <w:pPr>
        <w:pStyle w:val="ListBullet"/>
        <w:spacing w:after="60"/>
      </w:pPr>
      <w:r>
        <w:rPr>
          <w:b w:val="0"/>
          <w:sz w:val="20"/>
        </w:rPr>
        <w:t>Reglas de integridad para quien cargue datos: RUC nunca vacío (clave de join); no reordenar columnas; ramas vacías si no aplican; banderas y mapeos fuera de los promedios; encabezado congelado.</w:t>
      </w:r>
    </w:p>
    <w:p>
      <w:pPr>
        <w:pStyle w:val="Heading1"/>
      </w:pPr>
      <w:r>
        <w:t>6. Pendientes y próximos pasos</w:t>
      </w:r>
    </w:p>
    <w:p>
      <w:pPr>
        <w:pStyle w:val="ListNumber"/>
        <w:spacing w:after="60"/>
      </w:pPr>
      <w:r>
        <w:rPr>
          <w:b/>
          <w:sz w:val="20"/>
        </w:rPr>
        <w:t>Capa de ingesta (único bloqueante del cálculo):</w:t>
      </w:r>
      <w:r>
        <w:rPr>
          <w:b w:val="0"/>
          <w:sz w:val="20"/>
        </w:rPr>
        <w:t xml:space="preserve"> hoja de codificación (0–4 a 0–100, categóricas ordinales, % directo) + hoja de carga con join por RUC contra `MATRIZ_174`. La pestaña `INSTRUMENTO_2_PREGUNTAS` es el mapa; sin ella, D1/D4/D7–D11 permanecen en 0.</w:t>
      </w:r>
    </w:p>
    <w:p>
      <w:pPr>
        <w:pStyle w:val="ListNumber"/>
        <w:spacing w:after="60"/>
      </w:pPr>
      <w:r>
        <w:rPr>
          <w:b/>
          <w:sz w:val="20"/>
        </w:rPr>
        <w:t>Piloto de comprensibilidad</w:t>
      </w:r>
      <w:r>
        <w:rPr>
          <w:b w:val="0"/>
          <w:sz w:val="20"/>
        </w:rPr>
        <w:t xml:space="preserve"> (§1.1 de la Metodología del ISA) y ajuste de ítems con no-respuesta &gt; 20%.</w:t>
      </w:r>
    </w:p>
    <w:p>
      <w:pPr>
        <w:pStyle w:val="ListNumber"/>
        <w:spacing w:after="60"/>
      </w:pPr>
      <w:r>
        <w:rPr>
          <w:b/>
          <w:sz w:val="20"/>
        </w:rPr>
        <w:t>Escalar las 17 preguntas restantes del módulo Pacto Verde</w:t>
      </w:r>
      <w:r>
        <w:rPr>
          <w:b w:val="0"/>
          <w:sz w:val="20"/>
        </w:rPr>
        <w:t xml:space="preserve"> (D12.40/41/43/44, D13.46–D13.50, D14.52–D14.55, D15.56/57/59/60) tras la evaluación con el técnico de campo; sus columnas ya están reservadas en la Sheet.</w:t>
      </w:r>
    </w:p>
    <w:p>
      <w:pPr>
        <w:pStyle w:val="ListNumber"/>
        <w:spacing w:after="60"/>
      </w:pPr>
      <w:r>
        <w:rPr>
          <w:b/>
          <w:sz w:val="20"/>
        </w:rPr>
        <w:t>Reescribir IV1–IV5 con las definiciones de diseño</w:t>
      </w:r>
      <w:r>
        <w:rPr>
          <w:b w:val="0"/>
          <w:sz w:val="20"/>
        </w:rPr>
        <w:t xml:space="preserve"> una vez ingresado el Form (insumos ya capturados en v0.4).</w:t>
      </w:r>
    </w:p>
    <w:p>
      <w:pPr>
        <w:pStyle w:val="ListNumber"/>
        <w:spacing w:after="60"/>
      </w:pPr>
      <w:r>
        <w:rPr>
          <w:b/>
          <w:sz w:val="20"/>
        </w:rPr>
        <w:t>Panel AHP</w:t>
      </w:r>
      <w:r>
        <w:rPr>
          <w:b w:val="0"/>
          <w:sz w:val="20"/>
        </w:rPr>
        <w:t xml:space="preserve"> para validar los pesos de IP e IV (Fase 1 ISCAM).</w:t>
      </w:r>
    </w:p>
    <w:p>
      <w:pPr>
        <w:pStyle w:val="ListNumber"/>
        <w:spacing w:after="60"/>
      </w:pPr>
      <w:r>
        <w:rPr>
          <w:b/>
          <w:sz w:val="20"/>
        </w:rPr>
        <w:t>Actualizar la Google Sheet de respuestas</w:t>
      </w:r>
      <w:r>
        <w:rPr>
          <w:b w:val="0"/>
          <w:sz w:val="20"/>
        </w:rPr>
        <w:t xml:space="preserve"> con las columnas nuevas al crear el Form (encabezados listos en `Estructura Google Sheet - Respuestas Instrumento 2.md`, 139 columnas).</w:t>
      </w:r>
    </w:p>
    <w:p>
      <w:pPr>
        <w:pStyle w:val="Heading1"/>
      </w:pPr>
      <w:r>
        <w:t>Fuentes</w:t>
      </w:r>
    </w:p>
    <w:p>
      <w:pPr>
        <w:pStyle w:val="ListBullet"/>
        <w:spacing w:after="60"/>
      </w:pPr>
      <w:r>
        <w:rPr>
          <w:b w:val="0"/>
          <w:sz w:val="18"/>
        </w:rPr>
        <w:t>`Instrumentos\Texto para Google Form - Instrumento 2.md` (v0.4, 119 preguntas) y su Anexo de correspondencia.</w:t>
      </w:r>
    </w:p>
    <w:p>
      <w:pPr>
        <w:pStyle w:val="ListBullet"/>
        <w:spacing w:after="60"/>
      </w:pPr>
      <w:r>
        <w:rPr>
          <w:b w:val="0"/>
          <w:sz w:val="18"/>
        </w:rPr>
        <w:t>`Instrumentos\Estructura Google Sheet - Respuestas Instrumento 2.md` (139 columnas, `A`–`EI`).</w:t>
      </w:r>
    </w:p>
    <w:p>
      <w:pPr>
        <w:pStyle w:val="ListBullet"/>
        <w:spacing w:after="60"/>
      </w:pPr>
      <w:r>
        <w:rPr>
          <w:b w:val="0"/>
          <w:sz w:val="18"/>
        </w:rPr>
        <w:t>`PLANTILLA_INDICE_PVE_ISCAM.xlsx` (8 pestañas, 174 organizaciones; correcciones 2026-10-14).</w:t>
      </w:r>
    </w:p>
    <w:p>
      <w:pPr>
        <w:pStyle w:val="ListBullet"/>
        <w:spacing w:after="60"/>
      </w:pPr>
      <w:r>
        <w:rPr>
          <w:b w:val="0"/>
          <w:sz w:val="18"/>
        </w:rPr>
        <w:t>`ISCAM\Metodologia - Indice de Alineamiento (ISA) y Marco Muestral.md` / `.docx` (§7 implementación, §8 correcciones, §9 paridad café/cacao).</w:t>
      </w:r>
    </w:p>
    <w:p>
      <w:pPr>
        <w:pStyle w:val="ListBullet"/>
        <w:spacing w:after="60"/>
      </w:pPr>
      <w:r>
        <w:rPr>
          <w:b w:val="0"/>
          <w:sz w:val="18"/>
        </w:rPr>
        <w:t>`ISCAM\Sistema de Indices ISCAM - ISA-IP-IV-RE-AHP.md`; `Remapeo D1-D9 a Indice de Preparacion (IP-ISCAM).md`; `Diseno - Indice de Vulnerabilidad (IV-ISCAM).md`; `Comparativa - ISA D1-D11 vs IP-IV-RE ISCAM.md`; `Propuesta ISCAM - Indices IP-IV-RE.docx`.</w:t>
      </w:r>
    </w:p>
    <w:p>
      <w:pPr>
        <w:pStyle w:val="ListBullet"/>
        <w:spacing w:after="60"/>
      </w:pPr>
      <w:r>
        <w:rPr>
          <w:b w:val="0"/>
          <w:sz w:val="18"/>
        </w:rPr>
        <w:t>`ISCAM\Modelo de Calculo - ISA-IP-IV-RE-AHP.xlsx` (`Datos_Crudos` + `Codificacion`: la capa de ingesta que debe replicarse en la plantilla).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