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4F67" w14:textId="29989C05" w:rsidR="001B5566" w:rsidRPr="003F3FCE" w:rsidRDefault="001B5566" w:rsidP="001B5566">
      <w:pPr>
        <w:rPr>
          <w:b/>
          <w:bCs/>
          <w:sz w:val="28"/>
          <w:szCs w:val="28"/>
          <w:lang w:val="es-ES"/>
        </w:rPr>
      </w:pPr>
      <w:r w:rsidRPr="003F3FCE">
        <w:rPr>
          <w:b/>
          <w:bCs/>
          <w:sz w:val="28"/>
          <w:szCs w:val="28"/>
          <w:lang w:val="es-ES"/>
        </w:rPr>
        <w:t xml:space="preserve">Informe Explicativo del Análisis </w:t>
      </w:r>
    </w:p>
    <w:p w14:paraId="3845E685" w14:textId="77777777" w:rsidR="003F3FCE" w:rsidRDefault="003F3FCE" w:rsidP="001B5566">
      <w:pPr>
        <w:rPr>
          <w:b/>
          <w:bCs/>
          <w:lang w:val="es-ES"/>
        </w:rPr>
      </w:pPr>
    </w:p>
    <w:p w14:paraId="36301BA7" w14:textId="77777777" w:rsidR="003F3FCE" w:rsidRPr="001B5566" w:rsidRDefault="003F3FCE" w:rsidP="001B5566">
      <w:pPr>
        <w:rPr>
          <w:b/>
          <w:bCs/>
          <w:lang w:val="es-ES"/>
        </w:rPr>
      </w:pPr>
    </w:p>
    <w:p w14:paraId="4F41EB8C" w14:textId="486F0F1F" w:rsidR="001B5566" w:rsidRDefault="001B5566" w:rsidP="001B5566">
      <w:pPr>
        <w:rPr>
          <w:lang w:val="es-ES"/>
        </w:rPr>
      </w:pPr>
      <w:r w:rsidRPr="001B5566">
        <w:rPr>
          <w:lang w:val="es-ES"/>
        </w:rPr>
        <w:t>El informe debe presentar y justificar los resultados obtenidos en el código de Python. Utiliza</w:t>
      </w:r>
      <w:r w:rsidR="003F3FCE">
        <w:rPr>
          <w:lang w:val="es-ES"/>
        </w:rPr>
        <w:t>remos</w:t>
      </w:r>
      <w:r w:rsidRPr="001B5566">
        <w:rPr>
          <w:lang w:val="es-ES"/>
        </w:rPr>
        <w:t xml:space="preserve"> la información de los </w:t>
      </w:r>
      <w:r w:rsidRPr="001B5566">
        <w:rPr>
          <w:i/>
          <w:iCs/>
          <w:lang w:val="es-ES"/>
        </w:rPr>
        <w:t>prints</w:t>
      </w:r>
      <w:r w:rsidRPr="001B5566">
        <w:rPr>
          <w:lang w:val="es-ES"/>
        </w:rPr>
        <w:t xml:space="preserve"> de </w:t>
      </w:r>
      <w:r w:rsidR="003F3FCE">
        <w:rPr>
          <w:lang w:val="es-ES"/>
        </w:rPr>
        <w:t>nuestro</w:t>
      </w:r>
      <w:r w:rsidRPr="001B5566">
        <w:rPr>
          <w:lang w:val="es-ES"/>
        </w:rPr>
        <w:t xml:space="preserve"> código (especialmente de la sección </w:t>
      </w:r>
      <w:r w:rsidRPr="001B5566">
        <w:rPr>
          <w:b/>
          <w:bCs/>
          <w:lang w:val="es-ES"/>
        </w:rPr>
        <w:t>3. Análisis Descriptivo</w:t>
      </w:r>
      <w:r w:rsidRPr="001B5566">
        <w:rPr>
          <w:lang w:val="es-ES"/>
        </w:rPr>
        <w:t>) para llenar las conclusiones.</w:t>
      </w:r>
    </w:p>
    <w:p w14:paraId="2F1560FC" w14:textId="77777777" w:rsidR="00D77258" w:rsidRPr="001B5566" w:rsidRDefault="00D77258" w:rsidP="001B5566">
      <w:pPr>
        <w:rPr>
          <w:lang w:val="es-ES"/>
        </w:rPr>
      </w:pPr>
    </w:p>
    <w:p w14:paraId="2EF63E7D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rFonts w:ascii="Segoe UI Emoji" w:hAnsi="Segoe UI Emoji" w:cs="Segoe UI Emoji"/>
          <w:b/>
          <w:bCs/>
          <w:lang w:val="es-ES"/>
        </w:rPr>
        <w:t>📄</w:t>
      </w:r>
      <w:r w:rsidRPr="001B5566">
        <w:rPr>
          <w:b/>
          <w:bCs/>
          <w:lang w:val="es-ES"/>
        </w:rPr>
        <w:t xml:space="preserve"> INFORME EXPLICATIVO DEL ANÁLISIS EXPLORATORIO DE DATOS (EDA)</w:t>
      </w:r>
    </w:p>
    <w:p w14:paraId="37C81914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1. Introducción</w:t>
      </w:r>
    </w:p>
    <w:p w14:paraId="1276DBAD" w14:textId="77777777" w:rsidR="001B5566" w:rsidRPr="001B5566" w:rsidRDefault="001B5566" w:rsidP="001B5566">
      <w:pPr>
        <w:numPr>
          <w:ilvl w:val="0"/>
          <w:numId w:val="9"/>
        </w:numPr>
        <w:rPr>
          <w:lang w:val="es-ES"/>
        </w:rPr>
      </w:pPr>
      <w:r w:rsidRPr="001B5566">
        <w:rPr>
          <w:b/>
          <w:bCs/>
          <w:lang w:val="es-ES"/>
        </w:rPr>
        <w:t>Objetivo del Análisis:</w:t>
      </w:r>
      <w:r w:rsidRPr="001B5566">
        <w:rPr>
          <w:lang w:val="es-ES"/>
        </w:rPr>
        <w:t xml:space="preserve"> Identificar patrones y características clave de los clientes bancarios que influyen en la </w:t>
      </w:r>
      <w:r w:rsidRPr="001B5566">
        <w:rPr>
          <w:b/>
          <w:bCs/>
          <w:lang w:val="es-ES"/>
        </w:rPr>
        <w:t>suscripción</w:t>
      </w:r>
      <w:r w:rsidRPr="001B5566">
        <w:rPr>
          <w:lang w:val="es-ES"/>
        </w:rPr>
        <w:t xml:space="preserve"> de un depósito a plazo (variable y).</w:t>
      </w:r>
    </w:p>
    <w:p w14:paraId="74D6334B" w14:textId="4C756F3F" w:rsidR="001B5566" w:rsidRDefault="001B5566" w:rsidP="001B5566">
      <w:pPr>
        <w:numPr>
          <w:ilvl w:val="0"/>
          <w:numId w:val="9"/>
        </w:numPr>
        <w:rPr>
          <w:lang w:val="es-ES"/>
        </w:rPr>
      </w:pPr>
      <w:r w:rsidRPr="001B5566">
        <w:rPr>
          <w:b/>
          <w:bCs/>
          <w:lang w:val="es-ES"/>
        </w:rPr>
        <w:t>Fuentes de Datos:</w:t>
      </w:r>
      <w:r w:rsidRPr="001B5566">
        <w:rPr>
          <w:lang w:val="es-ES"/>
        </w:rPr>
        <w:t xml:space="preserve"> Se utilizaron datos de campañas de marketing (bank-additional.csv) y detalles demográficos/comportamiento de compra del cliente (customer-details.xlsx </w:t>
      </w:r>
      <w:r w:rsidR="003F3FCE">
        <w:rPr>
          <w:lang w:val="es-ES"/>
        </w:rPr>
        <w:t>archivo Excel que incluye 3 hojas con los datos de los diferentes años en estudio</w:t>
      </w:r>
      <w:r w:rsidRPr="001B5566">
        <w:rPr>
          <w:lang w:val="es-ES"/>
        </w:rPr>
        <w:t>).</w:t>
      </w:r>
    </w:p>
    <w:p w14:paraId="4F72C293" w14:textId="77777777" w:rsidR="003F3FCE" w:rsidRPr="001B5566" w:rsidRDefault="003F3FCE" w:rsidP="003F3FCE">
      <w:pPr>
        <w:ind w:left="720"/>
        <w:rPr>
          <w:lang w:val="es-ES"/>
        </w:rPr>
      </w:pPr>
    </w:p>
    <w:p w14:paraId="587AADF8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2. Transformación y Limpieza de los Datos</w:t>
      </w:r>
    </w:p>
    <w:p w14:paraId="7570E852" w14:textId="77777777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Integración:</w:t>
      </w:r>
      <w:r w:rsidRPr="001B5566">
        <w:rPr>
          <w:lang w:val="es-ES"/>
        </w:rPr>
        <w:t xml:space="preserve"> Los cuatro </w:t>
      </w:r>
      <w:r w:rsidRPr="001B5566">
        <w:rPr>
          <w:i/>
          <w:iCs/>
          <w:lang w:val="es-ES"/>
        </w:rPr>
        <w:t>datasets</w:t>
      </w:r>
      <w:r w:rsidRPr="001B5566">
        <w:rPr>
          <w:lang w:val="es-ES"/>
        </w:rPr>
        <w:t xml:space="preserve"> fueron cargados y combinados mediante una unión interna (inner merge) utilizando el identificador único id_. El </w:t>
      </w:r>
      <w:r w:rsidRPr="001B5566">
        <w:rPr>
          <w:i/>
          <w:iCs/>
          <w:lang w:val="es-ES"/>
        </w:rPr>
        <w:t>DataFrame</w:t>
      </w:r>
      <w:r w:rsidRPr="001B5566">
        <w:rPr>
          <w:lang w:val="es-ES"/>
        </w:rPr>
        <w:t xml:space="preserve"> final contiene </w:t>
      </w:r>
      <w:r w:rsidRPr="001B5566">
        <w:rPr>
          <w:b/>
          <w:bCs/>
          <w:lang w:val="es-ES"/>
        </w:rPr>
        <w:t>{df.shape[0]}</w:t>
      </w:r>
      <w:r w:rsidRPr="001B5566">
        <w:rPr>
          <w:lang w:val="es-ES"/>
        </w:rPr>
        <w:t xml:space="preserve"> registros.</w:t>
      </w:r>
    </w:p>
    <w:p w14:paraId="078D7AD8" w14:textId="77777777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Manejo de Tipos de Datos:</w:t>
      </w:r>
      <w:r w:rsidRPr="001B5566">
        <w:rPr>
          <w:lang w:val="es-ES"/>
        </w:rPr>
        <w:t xml:space="preserve"> Se corrigió el formato de las variables socioeconómicas (emp.var.rate, cons.price.idx, cons.conf.idx, euribor3m) que utilizaban la coma (,) como separador decimal.</w:t>
      </w:r>
    </w:p>
    <w:p w14:paraId="59AE570E" w14:textId="77777777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Limpieza de Valores Faltantes:</w:t>
      </w:r>
    </w:p>
    <w:p w14:paraId="104EA2D5" w14:textId="5BE6D3C1" w:rsidR="001B5566" w:rsidRPr="001B5566" w:rsidRDefault="001B5566" w:rsidP="001B5566">
      <w:pPr>
        <w:numPr>
          <w:ilvl w:val="1"/>
          <w:numId w:val="10"/>
        </w:numPr>
        <w:rPr>
          <w:lang w:val="es-ES"/>
        </w:rPr>
      </w:pPr>
      <w:r w:rsidRPr="001B5566">
        <w:rPr>
          <w:lang w:val="es-ES"/>
        </w:rPr>
        <w:t xml:space="preserve">Variables numéricas (age, </w:t>
      </w:r>
      <w:r w:rsidR="003F3FCE">
        <w:rPr>
          <w:lang w:val="es-ES"/>
        </w:rPr>
        <w:t>i</w:t>
      </w:r>
      <w:r w:rsidRPr="001B5566">
        <w:rPr>
          <w:lang w:val="es-ES"/>
        </w:rPr>
        <w:t xml:space="preserve">ncome): Los valores faltantes se imputaron con la </w:t>
      </w:r>
      <w:r w:rsidRPr="001B5566">
        <w:rPr>
          <w:b/>
          <w:bCs/>
          <w:lang w:val="es-ES"/>
        </w:rPr>
        <w:t>mediana</w:t>
      </w:r>
      <w:r w:rsidRPr="001B5566">
        <w:rPr>
          <w:lang w:val="es-ES"/>
        </w:rPr>
        <w:t xml:space="preserve"> para mitigar la sensibilidad a valores atípicos.</w:t>
      </w:r>
    </w:p>
    <w:p w14:paraId="33C98AB0" w14:textId="77777777" w:rsidR="001B5566" w:rsidRPr="001B5566" w:rsidRDefault="001B5566" w:rsidP="001B5566">
      <w:pPr>
        <w:numPr>
          <w:ilvl w:val="1"/>
          <w:numId w:val="10"/>
        </w:numPr>
        <w:rPr>
          <w:lang w:val="es-ES"/>
        </w:rPr>
      </w:pPr>
      <w:r w:rsidRPr="001B5566">
        <w:rPr>
          <w:lang w:val="es-ES"/>
        </w:rPr>
        <w:t xml:space="preserve">Variables categóricas (job, marital, education): Los valores nulos o 'unknown' se imputaron con la </w:t>
      </w:r>
      <w:r w:rsidRPr="001B5566">
        <w:rPr>
          <w:b/>
          <w:bCs/>
          <w:lang w:val="es-ES"/>
        </w:rPr>
        <w:t>moda</w:t>
      </w:r>
      <w:r w:rsidRPr="001B5566">
        <w:rPr>
          <w:lang w:val="es-ES"/>
        </w:rPr>
        <w:t xml:space="preserve"> (el valor más frecuente) de su respectiva columna.</w:t>
      </w:r>
    </w:p>
    <w:p w14:paraId="55DA5C73" w14:textId="77777777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Estandarización:</w:t>
      </w:r>
      <w:r w:rsidRPr="001B5566">
        <w:rPr>
          <w:lang w:val="es-ES"/>
        </w:rPr>
        <w:t xml:space="preserve"> La variable objetivo y se transformó de categórica ('yes'/'no') a numérica binaria (1/0) para el análisis estadístico.</w:t>
      </w:r>
    </w:p>
    <w:p w14:paraId="351991CD" w14:textId="220D719F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Creación de Variables (Feature Engineering):</w:t>
      </w:r>
      <w:r w:rsidRPr="001B5566">
        <w:rPr>
          <w:lang w:val="es-ES"/>
        </w:rPr>
        <w:t xml:space="preserve"> Se creó la variable Antiguedad_Dias (tenencia del cliente) a partir de </w:t>
      </w:r>
      <w:r w:rsidR="003F3FCE">
        <w:rPr>
          <w:lang w:val="es-ES"/>
        </w:rPr>
        <w:t>d</w:t>
      </w:r>
      <w:r w:rsidRPr="001B5566">
        <w:rPr>
          <w:lang w:val="es-ES"/>
        </w:rPr>
        <w:t>t_</w:t>
      </w:r>
      <w:r w:rsidR="003F3FCE">
        <w:rPr>
          <w:lang w:val="es-ES"/>
        </w:rPr>
        <w:t>c</w:t>
      </w:r>
      <w:r w:rsidRPr="001B5566">
        <w:rPr>
          <w:lang w:val="es-ES"/>
        </w:rPr>
        <w:t>ustomer para analizar si los clientes más antiguos tienen mayor o menor propensión a suscribir.</w:t>
      </w:r>
    </w:p>
    <w:p w14:paraId="30FB4023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3. Resultados del Análisis Descriptivo</w:t>
      </w:r>
    </w:p>
    <w:p w14:paraId="31D85050" w14:textId="77777777" w:rsidR="001B5566" w:rsidRPr="001B5566" w:rsidRDefault="001B5566" w:rsidP="001B5566">
      <w:pPr>
        <w:numPr>
          <w:ilvl w:val="0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Tasa de Suscripción Global (KPI Principal):</w:t>
      </w:r>
    </w:p>
    <w:p w14:paraId="528DDF7C" w14:textId="77777777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lang w:val="es-ES"/>
        </w:rPr>
        <w:t xml:space="preserve">La tasa de éxito de la campaña fue del </w:t>
      </w:r>
      <w:r w:rsidRPr="001B5566">
        <w:rPr>
          <w:b/>
          <w:bCs/>
          <w:lang w:val="es-ES"/>
        </w:rPr>
        <w:t>{tasa_suscripcion:.2f}%</w:t>
      </w:r>
      <w:r w:rsidRPr="001B5566">
        <w:rPr>
          <w:lang w:val="es-ES"/>
        </w:rPr>
        <w:t>. Esto indica que, en general, el marketing directo tiene un éxito limitado y subraya la necesidad de una segmentación más eficaz.</w:t>
      </w:r>
    </w:p>
    <w:p w14:paraId="27C36A65" w14:textId="77777777" w:rsidR="001B5566" w:rsidRPr="001B5566" w:rsidRDefault="001B5566" w:rsidP="001B5566">
      <w:pPr>
        <w:numPr>
          <w:ilvl w:val="0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Análisis por Segmentos:</w:t>
      </w:r>
    </w:p>
    <w:p w14:paraId="0ED57013" w14:textId="77777777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Estado Civil:</w:t>
      </w:r>
      <w:r w:rsidRPr="001B5566">
        <w:rPr>
          <w:lang w:val="es-ES"/>
        </w:rPr>
        <w:t xml:space="preserve"> Los clientes </w:t>
      </w:r>
      <w:r w:rsidRPr="001B5566">
        <w:rPr>
          <w:b/>
          <w:bCs/>
          <w:lang w:val="es-ES"/>
        </w:rPr>
        <w:t>{suscripcion_marital.index[0]}</w:t>
      </w:r>
      <w:r w:rsidRPr="001B5566">
        <w:rPr>
          <w:lang w:val="es-ES"/>
        </w:rPr>
        <w:t xml:space="preserve"> muestran la tasa de suscripción más alta ({suscripcion_marital.iloc[0]:.2f}), mientras que los </w:t>
      </w:r>
      <w:r w:rsidRPr="001B5566">
        <w:rPr>
          <w:b/>
          <w:bCs/>
          <w:lang w:val="es-ES"/>
        </w:rPr>
        <w:t>{suscripcion_marital.index[-1]}</w:t>
      </w:r>
      <w:r w:rsidRPr="001B5566">
        <w:rPr>
          <w:lang w:val="es-ES"/>
        </w:rPr>
        <w:t xml:space="preserve"> tienen la más baja ({suscripcion_marital.iloc[-1]:.2f}).</w:t>
      </w:r>
    </w:p>
    <w:p w14:paraId="2D39320A" w14:textId="77777777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Ocupación:</w:t>
      </w:r>
      <w:r w:rsidRPr="001B5566">
        <w:rPr>
          <w:lang w:val="es-ES"/>
        </w:rPr>
        <w:t xml:space="preserve"> Las ocupaciones con mayor éxito fueron </w:t>
      </w:r>
      <w:r w:rsidRPr="001B5566">
        <w:rPr>
          <w:b/>
          <w:bCs/>
          <w:lang w:val="es-ES"/>
        </w:rPr>
        <w:t>{suscripcion_job.index[0]}</w:t>
      </w:r>
      <w:r w:rsidRPr="001B5566">
        <w:rPr>
          <w:lang w:val="es-ES"/>
        </w:rPr>
        <w:t xml:space="preserve"> y </w:t>
      </w:r>
      <w:r w:rsidRPr="001B5566">
        <w:rPr>
          <w:b/>
          <w:bCs/>
          <w:lang w:val="es-ES"/>
        </w:rPr>
        <w:t>{suscripcion_job.index[1]}</w:t>
      </w:r>
      <w:r w:rsidRPr="001B5566">
        <w:rPr>
          <w:lang w:val="es-ES"/>
        </w:rPr>
        <w:t xml:space="preserve"> (utiliza los resultados de suscripcion_job).</w:t>
      </w:r>
    </w:p>
    <w:p w14:paraId="064178C3" w14:textId="77777777" w:rsidR="001B5566" w:rsidRPr="001B5566" w:rsidRDefault="001B5566" w:rsidP="001B5566">
      <w:pPr>
        <w:numPr>
          <w:ilvl w:val="0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Correlación con la Suscripción (y):</w:t>
      </w:r>
    </w:p>
    <w:p w14:paraId="18C27D20" w14:textId="77777777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lastRenderedPageBreak/>
        <w:t>Correlación Positiva Fuerte:</w:t>
      </w:r>
      <w:r w:rsidRPr="001B5566">
        <w:rPr>
          <w:lang w:val="es-ES"/>
        </w:rPr>
        <w:t xml:space="preserve"> La variable más fuertemente correlacionada positivamente es </w:t>
      </w:r>
      <w:r w:rsidRPr="001B5566">
        <w:rPr>
          <w:b/>
          <w:bCs/>
          <w:lang w:val="es-ES"/>
        </w:rPr>
        <w:t>duration</w:t>
      </w:r>
      <w:r w:rsidRPr="001B5566">
        <w:rPr>
          <w:lang w:val="es-ES"/>
        </w:rPr>
        <w:t xml:space="preserve"> (Duración de la llamada), lo cual es esperable: una llamada más larga a menudo resulta en una conversión, pero esta variable no debe usarse para predecir.</w:t>
      </w:r>
    </w:p>
    <w:p w14:paraId="7846F583" w14:textId="77777777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Correlación Negativa Fuerte:</w:t>
      </w:r>
      <w:r w:rsidRPr="001B5566">
        <w:rPr>
          <w:lang w:val="es-ES"/>
        </w:rPr>
        <w:t xml:space="preserve"> Las variables con mayor correlación negativa son </w:t>
      </w:r>
      <w:r w:rsidRPr="001B5566">
        <w:rPr>
          <w:b/>
          <w:bCs/>
          <w:lang w:val="es-ES"/>
        </w:rPr>
        <w:t>euribor3m</w:t>
      </w:r>
      <w:r w:rsidRPr="001B5566">
        <w:rPr>
          <w:lang w:val="es-ES"/>
        </w:rPr>
        <w:t xml:space="preserve"> (tasa de interés) y </w:t>
      </w:r>
      <w:r w:rsidRPr="001B5566">
        <w:rPr>
          <w:b/>
          <w:bCs/>
          <w:lang w:val="es-ES"/>
        </w:rPr>
        <w:t>nr.employed</w:t>
      </w:r>
      <w:r w:rsidRPr="001B5566">
        <w:rPr>
          <w:lang w:val="es-ES"/>
        </w:rPr>
        <w:t xml:space="preserve"> (número de empleados) (utiliza los resultados de matriz_corr), lo que sugiere que las campañas fueron más exitosas en entornos económicos menos estables (tasas de interés más bajas).</w:t>
      </w:r>
    </w:p>
    <w:p w14:paraId="554587F8" w14:textId="15EEBED0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Ingresos (</w:t>
      </w:r>
      <w:r w:rsidR="003F3FCE">
        <w:rPr>
          <w:b/>
          <w:bCs/>
          <w:lang w:val="es-ES"/>
        </w:rPr>
        <w:t>i</w:t>
      </w:r>
      <w:r w:rsidRPr="001B5566">
        <w:rPr>
          <w:b/>
          <w:bCs/>
          <w:lang w:val="es-ES"/>
        </w:rPr>
        <w:t>ncome):</w:t>
      </w:r>
      <w:r w:rsidRPr="001B5566">
        <w:rPr>
          <w:lang w:val="es-ES"/>
        </w:rPr>
        <w:t xml:space="preserve"> La correlación con los ingresos fue relativamente </w:t>
      </w:r>
      <w:r w:rsidRPr="001B5566">
        <w:rPr>
          <w:b/>
          <w:bCs/>
          <w:lang w:val="es-ES"/>
        </w:rPr>
        <w:t>débil/moderada</w:t>
      </w:r>
      <w:r w:rsidRPr="001B5566">
        <w:rPr>
          <w:lang w:val="es-ES"/>
        </w:rPr>
        <w:t>, lo que sugiere que el nivel de ingresos por sí solo no es un factor determinante, a diferencia de otras variables.</w:t>
      </w:r>
    </w:p>
    <w:p w14:paraId="677E05CA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4. Interpretación de Visualizaciones</w:t>
      </w:r>
    </w:p>
    <w:p w14:paraId="68B10846" w14:textId="77777777" w:rsidR="001B5566" w:rsidRPr="001B5566" w:rsidRDefault="001B5566" w:rsidP="001B5566">
      <w:pPr>
        <w:numPr>
          <w:ilvl w:val="0"/>
          <w:numId w:val="12"/>
        </w:numPr>
        <w:rPr>
          <w:lang w:val="es-ES"/>
        </w:rPr>
      </w:pPr>
      <w:r w:rsidRPr="001B5566">
        <w:rPr>
          <w:b/>
          <w:bCs/>
          <w:lang w:val="es-ES"/>
        </w:rPr>
        <w:t>Tasa de Suscripción por Ocupación:</w:t>
      </w:r>
      <w:r w:rsidRPr="001B5566">
        <w:rPr>
          <w:lang w:val="es-ES"/>
        </w:rPr>
        <w:t xml:space="preserve"> (Referencia al Gráfico 4.1)</w:t>
      </w:r>
    </w:p>
    <w:p w14:paraId="6A9742DD" w14:textId="77777777" w:rsidR="001B5566" w:rsidRP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Se observa que </w:t>
      </w:r>
      <w:r w:rsidRPr="001B5566">
        <w:rPr>
          <w:b/>
          <w:bCs/>
          <w:lang w:val="es-ES"/>
        </w:rPr>
        <w:t>{suscripcion_job.index[0]}</w:t>
      </w:r>
      <w:r w:rsidRPr="001B5566">
        <w:rPr>
          <w:lang w:val="es-ES"/>
        </w:rPr>
        <w:t xml:space="preserve"> tienen la mayor propensión a suscribirse, lo que podría deberse a una mayor disponibilidad de capital o a una mejor gestión de su tiempo.</w:t>
      </w:r>
    </w:p>
    <w:p w14:paraId="47ED0588" w14:textId="77777777" w:rsidR="001B5566" w:rsidRP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b/>
          <w:bCs/>
          <w:lang w:val="es-ES"/>
        </w:rPr>
        <w:t>{suscripcion_job.index[-1]}</w:t>
      </w:r>
      <w:r w:rsidRPr="001B5566">
        <w:rPr>
          <w:lang w:val="es-ES"/>
        </w:rPr>
        <w:t xml:space="preserve"> muestran la menor tasa, lo que podría indicar falta de interés o tiempo.</w:t>
      </w:r>
    </w:p>
    <w:p w14:paraId="6AFA05CD" w14:textId="77777777" w:rsidR="001B5566" w:rsidRPr="001B5566" w:rsidRDefault="001B5566" w:rsidP="001B5566">
      <w:pPr>
        <w:numPr>
          <w:ilvl w:val="0"/>
          <w:numId w:val="12"/>
        </w:numPr>
        <w:rPr>
          <w:lang w:val="es-ES"/>
        </w:rPr>
      </w:pPr>
      <w:r w:rsidRPr="001B5566">
        <w:rPr>
          <w:b/>
          <w:bCs/>
          <w:lang w:val="es-ES"/>
        </w:rPr>
        <w:t>Impacto de la Campaña (Gráfico 4.2):</w:t>
      </w:r>
    </w:p>
    <w:p w14:paraId="14BD69AF" w14:textId="77777777" w:rsidR="001B5566" w:rsidRP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La </w:t>
      </w:r>
      <w:r w:rsidRPr="001B5566">
        <w:rPr>
          <w:b/>
          <w:bCs/>
          <w:lang w:val="es-ES"/>
        </w:rPr>
        <w:t>Tasa de Suscripción</w:t>
      </w:r>
      <w:r w:rsidRPr="001B5566">
        <w:rPr>
          <w:lang w:val="es-ES"/>
        </w:rPr>
        <w:t xml:space="preserve"> es más alta en el primer y segundo contacto.</w:t>
      </w:r>
    </w:p>
    <w:p w14:paraId="418C1ABE" w14:textId="77777777" w:rsidR="001B5566" w:rsidRP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A partir de </w:t>
      </w:r>
      <w:r w:rsidRPr="001B5566">
        <w:rPr>
          <w:b/>
          <w:bCs/>
          <w:lang w:val="es-ES"/>
        </w:rPr>
        <w:t>{Nº de contactos a partir del cual la tasa cae}</w:t>
      </w:r>
      <w:r w:rsidRPr="001B5566">
        <w:rPr>
          <w:lang w:val="es-ES"/>
        </w:rPr>
        <w:t xml:space="preserve"> contactos, la tasa de suscripción cae drásticamente. Esto sugiere que contactar a un cliente más de </w:t>
      </w:r>
      <w:r w:rsidRPr="001B5566">
        <w:rPr>
          <w:b/>
          <w:bCs/>
          <w:lang w:val="es-ES"/>
        </w:rPr>
        <w:t>3 o 4 veces</w:t>
      </w:r>
      <w:r w:rsidRPr="001B5566">
        <w:rPr>
          <w:lang w:val="es-ES"/>
        </w:rPr>
        <w:t xml:space="preserve"> es ineficiente y podría ser perjudicial para la relación con el cliente (fatiga de campaña).</w:t>
      </w:r>
    </w:p>
    <w:p w14:paraId="36EABF65" w14:textId="77777777" w:rsidR="001B5566" w:rsidRPr="001B5566" w:rsidRDefault="001B5566" w:rsidP="001B5566">
      <w:pPr>
        <w:numPr>
          <w:ilvl w:val="0"/>
          <w:numId w:val="12"/>
        </w:numPr>
        <w:rPr>
          <w:lang w:val="es-ES"/>
        </w:rPr>
      </w:pPr>
      <w:r w:rsidRPr="001B5566">
        <w:rPr>
          <w:b/>
          <w:bCs/>
          <w:lang w:val="es-ES"/>
        </w:rPr>
        <w:t>Ingresos y Suscripción (Gráfico 4.3):</w:t>
      </w:r>
    </w:p>
    <w:p w14:paraId="66BD4D65" w14:textId="77777777" w:rsidR="001B5566" w:rsidRP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El diagrama de caja muestra que la </w:t>
      </w:r>
      <w:r w:rsidRPr="001B5566">
        <w:rPr>
          <w:b/>
          <w:bCs/>
          <w:lang w:val="es-ES"/>
        </w:rPr>
        <w:t>mediana de los ingresos</w:t>
      </w:r>
      <w:r w:rsidRPr="001B5566">
        <w:rPr>
          <w:lang w:val="es-ES"/>
        </w:rPr>
        <w:t xml:space="preserve"> para los clientes que </w:t>
      </w:r>
      <w:r w:rsidRPr="001B5566">
        <w:rPr>
          <w:b/>
          <w:bCs/>
          <w:lang w:val="es-ES"/>
        </w:rPr>
        <w:t>Sí suscribieron (1)</w:t>
      </w:r>
      <w:r w:rsidRPr="001B5566">
        <w:rPr>
          <w:lang w:val="es-ES"/>
        </w:rPr>
        <w:t xml:space="preserve"> es </w:t>
      </w:r>
      <w:r w:rsidRPr="001B5566">
        <w:rPr>
          <w:b/>
          <w:bCs/>
          <w:lang w:val="es-ES"/>
        </w:rPr>
        <w:t>ligeramente superior</w:t>
      </w:r>
      <w:r w:rsidRPr="001B5566">
        <w:rPr>
          <w:lang w:val="es-ES"/>
        </w:rPr>
        <w:t xml:space="preserve"> a la de los que </w:t>
      </w:r>
      <w:r w:rsidRPr="001B5566">
        <w:rPr>
          <w:b/>
          <w:bCs/>
          <w:lang w:val="es-ES"/>
        </w:rPr>
        <w:t>No suscribieron (0)</w:t>
      </w:r>
      <w:r w:rsidRPr="001B5566">
        <w:rPr>
          <w:lang w:val="es-ES"/>
        </w:rPr>
        <w:t>, aunque la diferencia no es masiva. Esto confirma la correlación débil/moderada observada.</w:t>
      </w:r>
    </w:p>
    <w:p w14:paraId="074F1561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5. Conclusiones y Recomendaciones</w:t>
      </w:r>
    </w:p>
    <w:p w14:paraId="7FF3DD1C" w14:textId="77777777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t>Optimización de Campañas:</w:t>
      </w:r>
      <w:r w:rsidRPr="001B5566">
        <w:rPr>
          <w:lang w:val="es-ES"/>
        </w:rPr>
        <w:t xml:space="preserve"> El equipo de marketing debe limitar el número de contactos a </w:t>
      </w:r>
      <w:r w:rsidRPr="001B5566">
        <w:rPr>
          <w:b/>
          <w:bCs/>
          <w:lang w:val="es-ES"/>
        </w:rPr>
        <w:t>tres</w:t>
      </w:r>
      <w:r w:rsidRPr="001B5566">
        <w:rPr>
          <w:lang w:val="es-ES"/>
        </w:rPr>
        <w:t xml:space="preserve"> por cliente, ya que los contactos posteriores ofrecen rendimientos decrecientes y generan costes innecesarios.</w:t>
      </w:r>
    </w:p>
    <w:p w14:paraId="49768830" w14:textId="77777777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t>Segmentación Prioritaria:</w:t>
      </w:r>
      <w:r w:rsidRPr="001B5566">
        <w:rPr>
          <w:lang w:val="es-ES"/>
        </w:rPr>
        <w:t xml:space="preserve"> Las campañas deben priorizar a los clientes de las ocupaciones </w:t>
      </w:r>
      <w:r w:rsidRPr="001B5566">
        <w:rPr>
          <w:b/>
          <w:bCs/>
          <w:lang w:val="es-ES"/>
        </w:rPr>
        <w:t>{suscripcion_job.index[0]}</w:t>
      </w:r>
      <w:r w:rsidRPr="001B5566">
        <w:rPr>
          <w:lang w:val="es-ES"/>
        </w:rPr>
        <w:t xml:space="preserve"> y </w:t>
      </w:r>
      <w:r w:rsidRPr="001B5566">
        <w:rPr>
          <w:b/>
          <w:bCs/>
          <w:lang w:val="es-ES"/>
        </w:rPr>
        <w:t>{suscripcion_job.index[1]}</w:t>
      </w:r>
      <w:r w:rsidRPr="001B5566">
        <w:rPr>
          <w:lang w:val="es-ES"/>
        </w:rPr>
        <w:t>, ya que son los que demuestran la mayor propensión a la conversión.</w:t>
      </w:r>
    </w:p>
    <w:p w14:paraId="63536D95" w14:textId="77777777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t>Contexto Económico:</w:t>
      </w:r>
      <w:r w:rsidRPr="001B5566">
        <w:rPr>
          <w:lang w:val="es-ES"/>
        </w:rPr>
        <w:t xml:space="preserve"> El banco debería explotar las campañas en periodos de </w:t>
      </w:r>
      <w:r w:rsidRPr="001B5566">
        <w:rPr>
          <w:b/>
          <w:bCs/>
          <w:lang w:val="es-ES"/>
        </w:rPr>
        <w:t>bajas tasas de interés</w:t>
      </w:r>
      <w:r w:rsidRPr="001B5566">
        <w:rPr>
          <w:lang w:val="es-ES"/>
        </w:rPr>
        <w:t xml:space="preserve"> o cuando el mercado laboral está experimentando incertidumbre (baja nr.employed), dado que la necesidad de un depósito a plazo es mayor.</w:t>
      </w:r>
    </w:p>
    <w:p w14:paraId="129FC64C" w14:textId="77777777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t>Enfoque Demográfico:</w:t>
      </w:r>
      <w:r w:rsidRPr="001B5566">
        <w:rPr>
          <w:lang w:val="es-ES"/>
        </w:rPr>
        <w:t xml:space="preserve"> Si bien el ingreso es un factor, no es el único. La estrategia debe basarse en la ocupación y el estado civil, no solo en la riqueza del cliente.</w:t>
      </w:r>
    </w:p>
    <w:p w14:paraId="11600DB7" w14:textId="77777777" w:rsidR="00ED7795" w:rsidRDefault="00ED7795"/>
    <w:sectPr w:rsidR="00ED77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4E"/>
    <w:multiLevelType w:val="multilevel"/>
    <w:tmpl w:val="6E9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023"/>
    <w:multiLevelType w:val="multilevel"/>
    <w:tmpl w:val="BA4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9F7"/>
    <w:multiLevelType w:val="multilevel"/>
    <w:tmpl w:val="7E7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12DEF"/>
    <w:multiLevelType w:val="multilevel"/>
    <w:tmpl w:val="E4D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03C9"/>
    <w:multiLevelType w:val="multilevel"/>
    <w:tmpl w:val="E99EE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730E9C"/>
    <w:multiLevelType w:val="multilevel"/>
    <w:tmpl w:val="558C6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ED17D4"/>
    <w:multiLevelType w:val="multilevel"/>
    <w:tmpl w:val="86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85528"/>
    <w:multiLevelType w:val="multilevel"/>
    <w:tmpl w:val="2CA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5B90"/>
    <w:multiLevelType w:val="multilevel"/>
    <w:tmpl w:val="C3A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6703F"/>
    <w:multiLevelType w:val="multilevel"/>
    <w:tmpl w:val="F2E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4309B"/>
    <w:multiLevelType w:val="multilevel"/>
    <w:tmpl w:val="D04E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A2B96"/>
    <w:multiLevelType w:val="multilevel"/>
    <w:tmpl w:val="A5A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A626E"/>
    <w:multiLevelType w:val="multilevel"/>
    <w:tmpl w:val="E45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322">
    <w:abstractNumId w:val="4"/>
  </w:num>
  <w:num w:numId="2" w16cid:durableId="577054229">
    <w:abstractNumId w:val="5"/>
  </w:num>
  <w:num w:numId="3" w16cid:durableId="1881936925">
    <w:abstractNumId w:val="2"/>
  </w:num>
  <w:num w:numId="4" w16cid:durableId="825055824">
    <w:abstractNumId w:val="9"/>
  </w:num>
  <w:num w:numId="5" w16cid:durableId="573127208">
    <w:abstractNumId w:val="1"/>
  </w:num>
  <w:num w:numId="6" w16cid:durableId="1069965782">
    <w:abstractNumId w:val="8"/>
  </w:num>
  <w:num w:numId="7" w16cid:durableId="984503610">
    <w:abstractNumId w:val="3"/>
  </w:num>
  <w:num w:numId="8" w16cid:durableId="1249269051">
    <w:abstractNumId w:val="6"/>
  </w:num>
  <w:num w:numId="9" w16cid:durableId="1568344419">
    <w:abstractNumId w:val="12"/>
  </w:num>
  <w:num w:numId="10" w16cid:durableId="515001638">
    <w:abstractNumId w:val="7"/>
  </w:num>
  <w:num w:numId="11" w16cid:durableId="1456559505">
    <w:abstractNumId w:val="0"/>
  </w:num>
  <w:num w:numId="12" w16cid:durableId="496463958">
    <w:abstractNumId w:val="11"/>
  </w:num>
  <w:num w:numId="13" w16cid:durableId="44447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795"/>
    <w:rsid w:val="001B5566"/>
    <w:rsid w:val="00374F93"/>
    <w:rsid w:val="003F3FCE"/>
    <w:rsid w:val="0067293B"/>
    <w:rsid w:val="007B0C5F"/>
    <w:rsid w:val="00D77258"/>
    <w:rsid w:val="00EA26D5"/>
    <w:rsid w:val="00ED7795"/>
    <w:rsid w:val="00F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463B"/>
  <w15:docId w15:val="{E09CFB41-0A9F-4BC7-AE86-4F99A847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806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Antonio José Vázquez García</cp:lastModifiedBy>
  <cp:revision>4</cp:revision>
  <dcterms:created xsi:type="dcterms:W3CDTF">2025-10-20T18:10:00Z</dcterms:created>
  <dcterms:modified xsi:type="dcterms:W3CDTF">2025-10-20T18:43:00Z</dcterms:modified>
</cp:coreProperties>
</file>