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Matriz de errores y defectos AQUARIUM</w:t>
      </w:r>
    </w:p>
    <w:p>
      <w:pPr>
        <w:spacing w:after="280"/>
      </w:pPr>
      <w:r>
        <w:rPr>
          <w:color w:val="506579"/>
          <w:sz w:val="26"/>
        </w:rPr>
        <w:t>Hallazgos reportados en V1, V2 y V3, incidencias técnicas de V3 y evidencias</w:t>
      </w:r>
    </w:p>
    <w:p>
      <w:pPr>
        <w:spacing w:after="180"/>
      </w:pPr>
      <w:r>
        <w:rPr>
          <w:b/>
          <w:sz w:val="18"/>
        </w:rPr>
        <w:t>Documento de seguimiento  |  Corte de evidencia: 21 de octubre de 2026  |  Entorno local</w:t>
      </w:r>
    </w:p>
    <w:p>
      <w:pPr>
        <w:pStyle w:val="Heading1"/>
      </w:pPr>
      <w:r>
        <w:t>Propósito y alcance</w:t>
      </w:r>
    </w:p>
    <w:p>
      <w:pPr>
        <w:spacing w:after="120"/>
      </w:pPr>
      <w:r>
        <w:t>Este documento organiza los errores comunicados durante las versiones V1, V2 y V3 y los incidentes técnicos observados al preparar y probar V3. La primera matriz conserva los reportes del archivo Errores.docx; ese archivo no asigna una versión exacta a cada hallazgo. La segunda matriz contrasta los registros del repositorio, los logs, las ejecuciones JMeter y la configuración actual.</w:t>
      </w:r>
    </w:p>
    <w:p>
      <w:pPr>
        <w:spacing w:after="160"/>
      </w:pPr>
      <w:r>
        <w:t>Los estados “resuelto” o “mitigado” describen evidencia actual en código o reportes, no sustituyen una repetición manual del caso. Los problemas de consola, permisos, servicios o dependencias se identifican como incidentes de entorno/herramientas y no se presentan automáticamente como defectos funcionales. Las contraseñas, correos y códigos de pedido contenidos en la fuente se omitieron o se ocultaron en las capturas.</w:t>
      </w:r>
    </w:p>
    <w:p>
      <w:r>
        <w:br w:type="page"/>
      </w:r>
    </w:p>
    <w:p>
      <w:pPr>
        <w:pStyle w:val="Heading1"/>
      </w:pPr>
      <w:r>
        <w:t>1. Matriz de errores reportados en V1, V2 y V3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950"/>
            <w:shd w:fill="0E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642"/>
            <w:shd w:fill="0E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Versión / alcance</w:t>
            </w:r>
          </w:p>
        </w:tc>
        <w:tc>
          <w:tcPr>
            <w:tcW w:type="dxa" w:w="1728"/>
            <w:shd w:fill="0E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4867"/>
            <w:shd w:fill="0E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Descripción del hallazgo</w:t>
            </w:r>
          </w:p>
        </w:tc>
        <w:tc>
          <w:tcPr>
            <w:tcW w:type="dxa" w:w="2232"/>
            <w:shd w:fill="0E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 / estado</w:t>
            </w:r>
          </w:p>
        </w:tc>
        <w:tc>
          <w:tcPr>
            <w:tcW w:type="dxa" w:w="2621"/>
            <w:shd w:fill="0E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Evidencia asociada</w:t>
            </w:r>
          </w:p>
        </w:tc>
      </w:tr>
      <w:tr>
        <w:trPr>
          <w:cantSplit/>
        </w:trPr>
        <w:tc>
          <w:tcPr>
            <w:tcW w:type="dxa" w:w="950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00A7AD"/>
                <w:sz w:val="15"/>
              </w:rPr>
              <w:t>DEF-001</w:t>
            </w:r>
          </w:p>
        </w:tc>
        <w:tc>
          <w:tcPr>
            <w:tcW w:type="dxa" w:w="1642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V1–V3, sin versión asignada</w:t>
            </w:r>
          </w:p>
        </w:tc>
        <w:tc>
          <w:tcPr>
            <w:tcW w:type="dxa" w:w="172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Clínica / veterinario</w:t>
            </w:r>
          </w:p>
        </w:tc>
        <w:tc>
          <w:tcPr>
            <w:tcW w:type="dxa" w:w="486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El perfil del veterinario no mostraba las funciones para revisar citas y datos de cliente/paciente, registrar diagnóstico y emitir receta.</w:t>
            </w:r>
          </w:p>
        </w:tc>
        <w:tc>
          <w:tcPr>
            <w:tcW w:type="dxa" w:w="2232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Alto · Reportado; requiere revalidación</w:t>
            </w:r>
          </w:p>
        </w:tc>
        <w:tc>
          <w:tcPr>
            <w:tcW w:type="dxa" w:w="262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Captura asociada: pantalla 403 durante el flujo de acceso; evidencia indirecta.</w:t>
            </w:r>
          </w:p>
        </w:tc>
      </w:tr>
      <w:tr>
        <w:trPr>
          <w:cantSplit/>
        </w:trPr>
        <w:tc>
          <w:tcPr>
            <w:tcW w:type="dxa" w:w="950"/>
            <w:shd w:fill="F2F5F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00A7AD"/>
                <w:sz w:val="15"/>
              </w:rPr>
              <w:t>DEF-002</w:t>
            </w:r>
          </w:p>
        </w:tc>
        <w:tc>
          <w:tcPr>
            <w:tcW w:type="dxa" w:w="1642"/>
            <w:shd w:fill="F2F5F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V1–V3, sin versión asignada</w:t>
            </w:r>
          </w:p>
        </w:tc>
        <w:tc>
          <w:tcPr>
            <w:tcW w:type="dxa" w:w="1728"/>
            <w:shd w:fill="F2F5F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Acceso por rol</w:t>
            </w:r>
          </w:p>
        </w:tc>
        <w:tc>
          <w:tcPr>
            <w:tcW w:type="dxa" w:w="4867"/>
            <w:shd w:fill="F2F5F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El flujo de acceso del veterinario podía bloquear el sistema después del registro/inicio de sesión.</w:t>
            </w:r>
          </w:p>
        </w:tc>
        <w:tc>
          <w:tcPr>
            <w:tcW w:type="dxa" w:w="2232"/>
            <w:shd w:fill="F2F5F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Alto · Reportado; no reproducido en este levantamiento</w:t>
            </w:r>
          </w:p>
        </w:tc>
        <w:tc>
          <w:tcPr>
            <w:tcW w:type="dxa" w:w="2621"/>
            <w:shd w:fill="F2F5F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Captura 403 asociada; falta una grabación del bloqueo completo.</w:t>
            </w:r>
          </w:p>
        </w:tc>
      </w:tr>
      <w:tr>
        <w:trPr>
          <w:cantSplit/>
        </w:trPr>
        <w:tc>
          <w:tcPr>
            <w:tcW w:type="dxa" w:w="950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00A7AD"/>
                <w:sz w:val="15"/>
              </w:rPr>
              <w:t>DEF-003</w:t>
            </w:r>
          </w:p>
        </w:tc>
        <w:tc>
          <w:tcPr>
            <w:tcW w:type="dxa" w:w="1642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V1–V3, sin versión asignada</w:t>
            </w:r>
          </w:p>
        </w:tc>
        <w:tc>
          <w:tcPr>
            <w:tcW w:type="dxa" w:w="172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Catálogo / autorización</w:t>
            </w:r>
          </w:p>
        </w:tc>
        <w:tc>
          <w:tcPr>
            <w:tcW w:type="dxa" w:w="486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El catálogo debía ser visible sin registro, pero se capturaron respuestas 403 que restringían el acceso a clientes y cajeros.</w:t>
            </w:r>
          </w:p>
        </w:tc>
        <w:tc>
          <w:tcPr>
            <w:tcW w:type="dxa" w:w="2232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Alto · Reportado; las capturas muestran la restricción</w:t>
            </w:r>
          </w:p>
        </w:tc>
        <w:tc>
          <w:tcPr>
            <w:tcW w:type="dxa" w:w="262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Dos capturas 403 del catálogo.</w:t>
            </w:r>
          </w:p>
        </w:tc>
      </w:tr>
      <w:tr>
        <w:trPr>
          <w:cantSplit/>
        </w:trPr>
        <w:tc>
          <w:tcPr>
            <w:tcW w:type="dxa" w:w="950"/>
            <w:shd w:fill="F2F5F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00A7AD"/>
                <w:sz w:val="15"/>
              </w:rPr>
              <w:t>DEF-004</w:t>
            </w:r>
          </w:p>
        </w:tc>
        <w:tc>
          <w:tcPr>
            <w:tcW w:type="dxa" w:w="1642"/>
            <w:shd w:fill="F2F5F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V1–V3, sin versión asignada</w:t>
            </w:r>
          </w:p>
        </w:tc>
        <w:tc>
          <w:tcPr>
            <w:tcW w:type="dxa" w:w="1728"/>
            <w:shd w:fill="F2F5F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Almacén / inventario</w:t>
            </w:r>
          </w:p>
        </w:tc>
        <w:tc>
          <w:tcPr>
            <w:tcW w:type="dxa" w:w="4867"/>
            <w:shd w:fill="F2F5F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La ubicación física de los productos del catálogo no se guardaba o aparecía vacía.</w:t>
            </w:r>
          </w:p>
        </w:tc>
        <w:tc>
          <w:tcPr>
            <w:tcW w:type="dxa" w:w="2232"/>
            <w:shd w:fill="F2F5F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Medio · Reportado; requiere comparar ficha y existencias actuales</w:t>
            </w:r>
          </w:p>
        </w:tc>
        <w:tc>
          <w:tcPr>
            <w:tcW w:type="dxa" w:w="2621"/>
            <w:shd w:fill="F2F5F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Captura aportada de contexto de pedidos/almacén; no aísla el campo de ubicación.</w:t>
            </w:r>
          </w:p>
        </w:tc>
      </w:tr>
      <w:tr>
        <w:trPr>
          <w:cantSplit/>
        </w:trPr>
        <w:tc>
          <w:tcPr>
            <w:tcW w:type="dxa" w:w="950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00A7AD"/>
                <w:sz w:val="15"/>
              </w:rPr>
              <w:t>DEF-005</w:t>
            </w:r>
          </w:p>
        </w:tc>
        <w:tc>
          <w:tcPr>
            <w:tcW w:type="dxa" w:w="1642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V1–V3, sin versión asignada</w:t>
            </w:r>
          </w:p>
        </w:tc>
        <w:tc>
          <w:tcPr>
            <w:tcW w:type="dxa" w:w="172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Catálogo / fichas</w:t>
            </w:r>
          </w:p>
        </w:tc>
        <w:tc>
          <w:tcPr>
            <w:tcW w:type="dxa" w:w="486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se podían agregar o consultar fichas técnicas desde el catálogo.</w:t>
            </w:r>
          </w:p>
        </w:tc>
        <w:tc>
          <w:tcPr>
            <w:tcW w:type="dxa" w:w="2232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Medio · Reportado; evidencia visual indirecta</w:t>
            </w:r>
          </w:p>
        </w:tc>
        <w:tc>
          <w:tcPr>
            <w:tcW w:type="dxa" w:w="262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Captura de catálogo aportada como contexto; falta reproducir la acción de abrir/agregar ficha.</w:t>
            </w:r>
          </w:p>
        </w:tc>
      </w:tr>
      <w:tr>
        <w:trPr>
          <w:cantSplit/>
        </w:trPr>
        <w:tc>
          <w:tcPr>
            <w:tcW w:type="dxa" w:w="950"/>
            <w:shd w:fill="F2F5F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00A7AD"/>
                <w:sz w:val="15"/>
              </w:rPr>
              <w:t>DEF-006</w:t>
            </w:r>
          </w:p>
        </w:tc>
        <w:tc>
          <w:tcPr>
            <w:tcW w:type="dxa" w:w="1642"/>
            <w:shd w:fill="F2F5F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V1–V3, sin versión asignada</w:t>
            </w:r>
          </w:p>
        </w:tc>
        <w:tc>
          <w:tcPr>
            <w:tcW w:type="dxa" w:w="1728"/>
            <w:shd w:fill="F2F5F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Autenticación / contraseña</w:t>
            </w:r>
          </w:p>
        </w:tc>
        <w:tc>
          <w:tcPr>
            <w:tcW w:type="dxa" w:w="4867"/>
            <w:shd w:fill="F2F5F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El mensaje de contraseña y las reglas mínimas se percibían inconsistentes o insuficientemente claros.</w:t>
            </w:r>
          </w:p>
        </w:tc>
        <w:tc>
          <w:tcPr>
            <w:tcW w:type="dxa" w:w="2232"/>
            <w:shd w:fill="F2F5F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Medio · Reportado; captura muestra validación</w:t>
            </w:r>
          </w:p>
        </w:tc>
        <w:tc>
          <w:tcPr>
            <w:tcW w:type="dxa" w:w="2621"/>
            <w:shd w:fill="F2F5F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Captura de validación de contraseña; se excluyeron nombre y correo.</w:t>
            </w:r>
          </w:p>
        </w:tc>
      </w:tr>
      <w:tr>
        <w:trPr>
          <w:cantSplit/>
        </w:trPr>
        <w:tc>
          <w:tcPr>
            <w:tcW w:type="dxa" w:w="950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00A7AD"/>
                <w:sz w:val="15"/>
              </w:rPr>
              <w:t>DEF-007</w:t>
            </w:r>
          </w:p>
        </w:tc>
        <w:tc>
          <w:tcPr>
            <w:tcW w:type="dxa" w:w="1642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V1–V3, sin versión asignada</w:t>
            </w:r>
          </w:p>
        </w:tc>
        <w:tc>
          <w:tcPr>
            <w:tcW w:type="dxa" w:w="172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Autenticación / cuenta demo</w:t>
            </w:r>
          </w:p>
        </w:tc>
        <w:tc>
          <w:tcPr>
            <w:tcW w:type="dxa" w:w="486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Se reportó que una cuenta de cliente de prueba no permitía iniciar sesión.</w:t>
            </w:r>
          </w:p>
        </w:tc>
        <w:tc>
          <w:tcPr>
            <w:tcW w:type="dxa" w:w="2232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Medio · Reportado; pendiente verificar vigencia de cuenta/BD</w:t>
            </w:r>
          </w:p>
        </w:tc>
        <w:tc>
          <w:tcPr>
            <w:tcW w:type="dxa" w:w="262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Captura de la pantalla de acceso como contexto; correo omitido.</w:t>
            </w:r>
          </w:p>
        </w:tc>
      </w:tr>
      <w:tr>
        <w:trPr>
          <w:cantSplit/>
        </w:trPr>
        <w:tc>
          <w:tcPr>
            <w:tcW w:type="dxa" w:w="950"/>
            <w:shd w:fill="F2F5F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00A7AD"/>
                <w:sz w:val="15"/>
              </w:rPr>
              <w:t>DEF-008</w:t>
            </w:r>
          </w:p>
        </w:tc>
        <w:tc>
          <w:tcPr>
            <w:tcW w:type="dxa" w:w="1642"/>
            <w:shd w:fill="F2F5F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V1–V3, sin versión asignada</w:t>
            </w:r>
          </w:p>
        </w:tc>
        <w:tc>
          <w:tcPr>
            <w:tcW w:type="dxa" w:w="1728"/>
            <w:shd w:fill="F2F5F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Pedidos / Click &amp; Collect</w:t>
            </w:r>
          </w:p>
        </w:tc>
        <w:tc>
          <w:tcPr>
            <w:tcW w:type="dxa" w:w="4867"/>
            <w:shd w:fill="F2F5F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La búsqueda de pedidos para recoger no filtraba el pedido esperado o mostraba que no había pedidos listos.</w:t>
            </w:r>
          </w:p>
        </w:tc>
        <w:tc>
          <w:tcPr>
            <w:tcW w:type="dxa" w:w="2232"/>
            <w:shd w:fill="F2F5F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Medio · Reportado; resultado depende de estado y código usados</w:t>
            </w:r>
          </w:p>
        </w:tc>
        <w:tc>
          <w:tcPr>
            <w:tcW w:type="dxa" w:w="2621"/>
            <w:shd w:fill="F2F5F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Captura de estado sin resultados; código de búsqueda oculto.</w:t>
            </w:r>
          </w:p>
        </w:tc>
      </w:tr>
      <w:tr>
        <w:trPr>
          <w:cantSplit/>
        </w:trPr>
        <w:tc>
          <w:tcPr>
            <w:tcW w:type="dxa" w:w="950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00A7AD"/>
                <w:sz w:val="15"/>
              </w:rPr>
              <w:t>DEF-009</w:t>
            </w:r>
          </w:p>
        </w:tc>
        <w:tc>
          <w:tcPr>
            <w:tcW w:type="dxa" w:w="1642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V1–V3, sin versión asignada</w:t>
            </w:r>
          </w:p>
        </w:tc>
        <w:tc>
          <w:tcPr>
            <w:tcW w:type="dxa" w:w="1728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Disponibilidad local</w:t>
            </w:r>
          </w:p>
        </w:tc>
        <w:tc>
          <w:tcPr>
            <w:tcW w:type="dxa" w:w="4867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Se observó que el sitio no respondía en el puerto abierto en el navegador.</w:t>
            </w:r>
          </w:p>
        </w:tc>
        <w:tc>
          <w:tcPr>
            <w:tcW w:type="dxa" w:w="2232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Medio · Captura muestra ERR_CONNECTION_REFUSED; puede deberse al servidor detenido</w:t>
            </w:r>
          </w:p>
        </w:tc>
        <w:tc>
          <w:tcPr>
            <w:tcW w:type="dxa" w:w="2621"/>
            <w:shd w:fill="FFFF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Captura de Chrome en 127.0.0.1:8000; no demuestra por sí sola un fallo de código.</w:t>
            </w:r>
          </w:p>
        </w:tc>
      </w:tr>
      <w:tr>
        <w:trPr>
          <w:cantSplit/>
        </w:trPr>
        <w:tc>
          <w:tcPr>
            <w:tcW w:type="dxa" w:w="950"/>
            <w:shd w:fill="F2F5F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00A7AD"/>
                <w:sz w:val="15"/>
              </w:rPr>
              <w:t>REQ-001</w:t>
            </w:r>
          </w:p>
        </w:tc>
        <w:tc>
          <w:tcPr>
            <w:tcW w:type="dxa" w:w="1642"/>
            <w:shd w:fill="F2F5F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Requisito mencionado</w:t>
            </w:r>
          </w:p>
        </w:tc>
        <w:tc>
          <w:tcPr>
            <w:tcW w:type="dxa" w:w="1728"/>
            <w:shd w:fill="F2F5F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Concurrencia de sesiones</w:t>
            </w:r>
          </w:p>
        </w:tc>
        <w:tc>
          <w:tcPr>
            <w:tcW w:type="dxa" w:w="4867"/>
            <w:shd w:fill="F2F5F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El sistema debe sostener múltiples inicios de sesión en línea y local. La fuente lo registra como requisito, no como una falla reproducida.</w:t>
            </w:r>
          </w:p>
        </w:tc>
        <w:tc>
          <w:tcPr>
            <w:tcW w:type="dxa" w:w="2232"/>
            <w:shd w:fill="F2F5F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Por probar · No es defecto confirmado</w:t>
            </w:r>
          </w:p>
        </w:tc>
        <w:tc>
          <w:tcPr>
            <w:tcW w:type="dxa" w:w="2621"/>
            <w:shd w:fill="F2F5F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5"/>
              </w:rPr>
              <w:t>No hay captura ni resultado de una prueba específica de sesiones concurrentes.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i/>
          <w:color w:val="506579"/>
          <w:sz w:val="16"/>
        </w:rPr>
        <w:t>Nota de interpretación: el documento de origen mezcla errores reportados, capturas de contexto y un requisito de concurrencia; no asigna versión ni fecha por fila. Los IDs DEF son de trazabilidad de este reporte. REQ-001 se conserva separado porque no describe una falla observada.</w:t>
      </w:r>
    </w:p>
    <w:p>
      <w:r>
        <w:br w:type="page"/>
      </w:r>
    </w:p>
    <w:p>
      <w:pPr>
        <w:pStyle w:val="Heading1"/>
      </w:pPr>
      <w:r>
        <w:t>2. Evidencia visual de reportes V1–V3</w:t>
      </w:r>
    </w:p>
    <w:p>
      <w:pPr>
        <w:spacing w:after="80"/>
      </w:pPr>
      <w:r>
        <w:t>Capturas extraídas del archivo entregado. Se colocan después de los IDs de la matriz para facilitar la referencia; cuando una imagen solo da contexto, se indica expresamente.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8595360" cy="46468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gacy_veterinary_4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4646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06579"/>
          <w:sz w:val="16"/>
        </w:rPr>
        <w:t>DEF-001 / DEF-002 · Captura asociada al flujo veterinario: la pantalla muestra 403 del catálogo; no acredita por sí sola el bloqueo de sesión ni la falta de funciones clínicas.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8595360" cy="43740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gacy_catalog_403_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4374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06579"/>
          <w:sz w:val="16"/>
        </w:rPr>
        <w:t>DEF-003 · Captura de acceso denegado al catálogo para el contexto de rol/usuario de la fuente.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7315200" cy="63421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gacy_catalog_403_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342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06579"/>
          <w:sz w:val="16"/>
        </w:rPr>
        <w:t>DEF-003 · Segunda captura 403 durante el acceso al catálogo.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583680" cy="13721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gacy_password_ru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372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06579"/>
          <w:sz w:val="16"/>
        </w:rPr>
        <w:t>DEF-006 · Mensaje de contraseña y requisitos; recorte sin identidad/correo.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86800" cy="46806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gacy_port_refus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680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06579"/>
          <w:sz w:val="16"/>
        </w:rPr>
        <w:t>DEF-009 · Navegador muestra ERR_CONNECTION_REFUSED en localhost:8000; evidencia de que no había un proceso aceptando la conexión en ese instante.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86800" cy="43634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gacy_pickup_sear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363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06579"/>
          <w:sz w:val="16"/>
        </w:rPr>
        <w:t>DEF-008 · Click &amp; Collect muestra “No hay pedidos listos”; se ocultó el código consultado. La captura no permite descartar que el pedido estuviera en otro estado.</w:t>
      </w:r>
    </w:p>
    <w:p>
      <w:r>
        <w:br w:type="page"/>
      </w:r>
    </w:p>
    <w:p>
      <w:pPr>
        <w:pStyle w:val="Heading1"/>
      </w:pPr>
      <w:r>
        <w:t>3. Matriz de incidencias y defectos observados durante V3</w:t>
      </w:r>
    </w:p>
    <w:p>
      <w:pPr>
        <w:spacing w:after="100"/>
      </w:pPr>
      <w:r>
        <w:t>Esta matriz incluye errores reproducibles en registros históricos, ajustes de compatibilidad y hallazgos de entorno. Un incidente con estado corregido permanece documentado como antecedente; “abierto” indica que no hay evidencia de cierre suficiente.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979"/>
            <w:shd w:fill="0E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72"/>
            <w:shd w:fill="0E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7747"/>
            <w:shd w:fill="0E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Error o defecto y efecto observado</w:t>
            </w:r>
          </w:p>
        </w:tc>
        <w:tc>
          <w:tcPr>
            <w:tcW w:type="dxa" w:w="3629"/>
            <w:shd w:fill="0E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 / disposición</w:t>
            </w:r>
          </w:p>
        </w:tc>
      </w:tr>
      <w:tr>
        <w:trPr>
          <w:cantSplit/>
        </w:trPr>
        <w:tc>
          <w:tcPr>
            <w:tcW w:type="dxa" w:w="979"/>
            <w:shd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00A7AD"/>
                <w:sz w:val="14"/>
              </w:rPr>
              <w:t>DEF-010</w:t>
            </w:r>
          </w:p>
        </w:tc>
        <w:tc>
          <w:tcPr>
            <w:tcW w:type="dxa" w:w="1872"/>
            <w:shd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Aplicación / frontend</w:t>
            </w:r>
          </w:p>
        </w:tc>
        <w:tc>
          <w:tcPr>
            <w:tcW w:type="dxa" w:w="7747"/>
            <w:shd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La raíz Inertia y la entrada visual requirieron ajuste; el commit 38d9d468 corrige la entrada local y el tema después de la pantalla en blanco.</w:t>
            </w:r>
          </w:p>
        </w:tc>
        <w:tc>
          <w:tcPr>
            <w:tcW w:type="dxa" w:w="3629"/>
            <w:shd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Alto · Corregido en código; confirmado por historial, falta anexar captura de la versión blanca.</w:t>
            </w:r>
          </w:p>
        </w:tc>
      </w:tr>
      <w:tr>
        <w:trPr>
          <w:cantSplit/>
        </w:trPr>
        <w:tc>
          <w:tcPr>
            <w:tcW w:type="dxa" w:w="979"/>
            <w:shd w:fill="F2F5F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00A7AD"/>
                <w:sz w:val="14"/>
              </w:rPr>
              <w:t>DEF-011</w:t>
            </w:r>
          </w:p>
        </w:tc>
        <w:tc>
          <w:tcPr>
            <w:tcW w:type="dxa" w:w="1872"/>
            <w:shd w:fill="F2F5F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Runtime PHP / PostgreSQL</w:t>
            </w:r>
          </w:p>
        </w:tc>
        <w:tc>
          <w:tcPr>
            <w:tcW w:type="dxa" w:w="7747"/>
            <w:shd w:fill="F2F5F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PHP CLI respondió “could not find driver” al usar pgsql cuando PDO_PGSQL no estaba cargado. Se añadió el lanzador local que carga las extensiones necesarias.</w:t>
            </w:r>
          </w:p>
        </w:tc>
        <w:tc>
          <w:tcPr>
            <w:tcW w:type="dxa" w:w="3629"/>
            <w:shd w:fill="F2F5F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Alto · Mitigado con scripts/php-local.ps1; verificar en cada PHP utilizado.</w:t>
            </w:r>
          </w:p>
        </w:tc>
      </w:tr>
      <w:tr>
        <w:trPr>
          <w:cantSplit/>
        </w:trPr>
        <w:tc>
          <w:tcPr>
            <w:tcW w:type="dxa" w:w="979"/>
            <w:shd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00A7AD"/>
                <w:sz w:val="14"/>
              </w:rPr>
              <w:t>DEF-012</w:t>
            </w:r>
          </w:p>
        </w:tc>
        <w:tc>
          <w:tcPr>
            <w:tcW w:type="dxa" w:w="1872"/>
            <w:shd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Servicios locales</w:t>
            </w:r>
          </w:p>
        </w:tc>
        <w:tc>
          <w:tcPr>
            <w:tcW w:type="dxa" w:w="7747"/>
            <w:shd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Se registraron conexiones denegadas o no disponibles hacia PostgreSQL y Redis (socket local 5432/6379).</w:t>
            </w:r>
          </w:p>
        </w:tc>
        <w:tc>
          <w:tcPr>
            <w:tcW w:type="dxa" w:w="3629"/>
            <w:shd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Alto · Incidente de entorno; FASE_CERO registra Docker operativo; revisar si reaparece.</w:t>
            </w:r>
          </w:p>
        </w:tc>
      </w:tr>
      <w:tr>
        <w:trPr>
          <w:cantSplit/>
        </w:trPr>
        <w:tc>
          <w:tcPr>
            <w:tcW w:type="dxa" w:w="979"/>
            <w:shd w:fill="F2F5F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00A7AD"/>
                <w:sz w:val="14"/>
              </w:rPr>
              <w:t>DEF-013</w:t>
            </w:r>
          </w:p>
        </w:tc>
        <w:tc>
          <w:tcPr>
            <w:tcW w:type="dxa" w:w="1872"/>
            <w:shd w:fill="F2F5F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Pruebas / rutas</w:t>
            </w:r>
          </w:p>
        </w:tc>
        <w:tc>
          <w:tcPr>
            <w:tcW w:type="dxa" w:w="7747"/>
            <w:shd w:fill="F2F5F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Una ejecución de pruebas falló porque no existía la ruta nombrada home. Actualmente routes/web.php la define y la suite local se reporta aprobada.</w:t>
            </w:r>
          </w:p>
        </w:tc>
        <w:tc>
          <w:tcPr>
            <w:tcW w:type="dxa" w:w="3629"/>
            <w:shd w:fill="F2F5F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Medio · Corregido en código actual; error histórico en laravel.log.</w:t>
            </w:r>
          </w:p>
        </w:tc>
      </w:tr>
      <w:tr>
        <w:trPr>
          <w:cantSplit/>
        </w:trPr>
        <w:tc>
          <w:tcPr>
            <w:tcW w:type="dxa" w:w="979"/>
            <w:shd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00A7AD"/>
                <w:sz w:val="14"/>
              </w:rPr>
              <w:t>DEF-014</w:t>
            </w:r>
          </w:p>
        </w:tc>
        <w:tc>
          <w:tcPr>
            <w:tcW w:type="dxa" w:w="1872"/>
            <w:shd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Pruebas / modelo Order</w:t>
            </w:r>
          </w:p>
        </w:tc>
        <w:tc>
          <w:tcPr>
            <w:tcW w:type="dxa" w:w="7747"/>
            <w:shd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Un flujo falló al solicitar la relación Order::client, que no estaba disponible en ese momento. El modelo actual ya declara la relación.</w:t>
            </w:r>
          </w:p>
        </w:tc>
        <w:tc>
          <w:tcPr>
            <w:tcW w:type="dxa" w:w="3629"/>
            <w:shd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Medio · Corregido en código actual; verificar regresión al cambiar relaciones.</w:t>
            </w:r>
          </w:p>
        </w:tc>
      </w:tr>
      <w:tr>
        <w:trPr>
          <w:cantSplit/>
        </w:trPr>
        <w:tc>
          <w:tcPr>
            <w:tcW w:type="dxa" w:w="979"/>
            <w:shd w:fill="F2F5F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00A7AD"/>
                <w:sz w:val="14"/>
              </w:rPr>
              <w:t>DEF-015</w:t>
            </w:r>
          </w:p>
        </w:tc>
        <w:tc>
          <w:tcPr>
            <w:tcW w:type="dxa" w:w="1872"/>
            <w:shd w:fill="F2F5F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PostgreSQL / migraciones</w:t>
            </w:r>
          </w:p>
        </w:tc>
        <w:tc>
          <w:tcPr>
            <w:tcW w:type="dxa" w:w="7747"/>
            <w:shd w:fill="F2F5F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Una escritura de datos de especie falló porque faltaba products.scientific_name. La migración de campos de cuidado existe; el error ocurrió antes de aplicar el esquema actualizado.</w:t>
            </w:r>
          </w:p>
        </w:tc>
        <w:tc>
          <w:tcPr>
            <w:tcW w:type="dxa" w:w="3629"/>
            <w:shd w:fill="F2F5F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Alto · Corregido aplicando migraciones pendientes; revisar estado de esquema antes de importar datos.</w:t>
            </w:r>
          </w:p>
        </w:tc>
      </w:tr>
      <w:tr>
        <w:trPr>
          <w:cantSplit/>
        </w:trPr>
        <w:tc>
          <w:tcPr>
            <w:tcW w:type="dxa" w:w="979"/>
            <w:shd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00A7AD"/>
                <w:sz w:val="14"/>
              </w:rPr>
              <w:t>DEF-016</w:t>
            </w:r>
          </w:p>
        </w:tc>
        <w:tc>
          <w:tcPr>
            <w:tcW w:type="dxa" w:w="1872"/>
            <w:shd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Laravel / Composer / caché</w:t>
            </w:r>
          </w:p>
        </w:tc>
        <w:tc>
          <w:tcPr>
            <w:tcW w:type="dxa" w:w="7747"/>
            <w:shd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Se registraron bootstrap/cache ausente/no escribible y proveedor DomPDF no encontrado durante la preparación de dependencias.</w:t>
            </w:r>
          </w:p>
        </w:tc>
        <w:tc>
          <w:tcPr>
            <w:tcW w:type="dxa" w:w="3629"/>
            <w:shd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Alto · Incidente de instalación/permisos; no clasificado como defecto de flujo final.</w:t>
            </w:r>
          </w:p>
        </w:tc>
      </w:tr>
      <w:tr>
        <w:trPr>
          <w:cantSplit/>
        </w:trPr>
        <w:tc>
          <w:tcPr>
            <w:tcW w:type="dxa" w:w="979"/>
            <w:shd w:fill="F2F5F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00A7AD"/>
                <w:sz w:val="14"/>
              </w:rPr>
              <w:t>DEF-017</w:t>
            </w:r>
          </w:p>
        </w:tc>
        <w:tc>
          <w:tcPr>
            <w:tcW w:type="dxa" w:w="1872"/>
            <w:shd w:fill="F2F5F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PHP / extensiones</w:t>
            </w:r>
          </w:p>
        </w:tc>
        <w:tc>
          <w:tcPr>
            <w:tcW w:type="dxa" w:w="7747"/>
            <w:shd w:fill="F2F5F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La extensión intl no estaba habilitada para una llamada de formato numérico.</w:t>
            </w:r>
          </w:p>
        </w:tc>
        <w:tc>
          <w:tcPr>
            <w:tcW w:type="dxa" w:w="3629"/>
            <w:shd w:fill="F2F5F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Medio · Mitigado mediante scripts/php-local.ps1; depende de usar el lanzador del proyecto.</w:t>
            </w:r>
          </w:p>
        </w:tc>
      </w:tr>
      <w:tr>
        <w:trPr>
          <w:cantSplit/>
        </w:trPr>
        <w:tc>
          <w:tcPr>
            <w:tcW w:type="dxa" w:w="979"/>
            <w:shd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00A7AD"/>
                <w:sz w:val="14"/>
              </w:rPr>
              <w:t>DEF-018</w:t>
            </w:r>
          </w:p>
        </w:tc>
        <w:tc>
          <w:tcPr>
            <w:tcW w:type="dxa" w:w="1872"/>
            <w:shd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CLI / PsySH</w:t>
            </w:r>
          </w:p>
        </w:tc>
        <w:tc>
          <w:tcPr>
            <w:tcW w:type="dxa" w:w="7747"/>
            <w:shd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PsySH intentó guardar configuración/historial en AppData del usuario y Windows/entorno no permitió la escritura.</w:t>
            </w:r>
          </w:p>
        </w:tc>
        <w:tc>
          <w:tcPr>
            <w:tcW w:type="dxa" w:w="3629"/>
            <w:shd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Bajo · Incidente de herramienta/permisos; afecta Tinker, no la aplicación web.</w:t>
            </w:r>
          </w:p>
        </w:tc>
      </w:tr>
    </w:tbl>
    <w:p/>
    <w:p>
      <w:r>
        <w:br w:type="page"/>
      </w:r>
    </w:p>
    <w:p>
      <w:pPr>
        <w:pStyle w:val="Heading2"/>
      </w:pPr>
      <w:r>
        <w:t>Matriz V3 continuación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979"/>
            <w:shd w:fill="0E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72"/>
            <w:shd w:fill="0E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7747"/>
            <w:shd w:fill="0E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Error o defecto y efecto observado</w:t>
            </w:r>
          </w:p>
        </w:tc>
        <w:tc>
          <w:tcPr>
            <w:tcW w:type="dxa" w:w="3629"/>
            <w:shd w:fill="0E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 / disposición</w:t>
            </w:r>
          </w:p>
        </w:tc>
      </w:tr>
      <w:tr>
        <w:trPr>
          <w:cantSplit/>
        </w:trPr>
        <w:tc>
          <w:tcPr>
            <w:tcW w:type="dxa" w:w="979"/>
            <w:shd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00A7AD"/>
                <w:sz w:val="14"/>
              </w:rPr>
              <w:t>DEF-019</w:t>
            </w:r>
          </w:p>
        </w:tc>
        <w:tc>
          <w:tcPr>
            <w:tcW w:type="dxa" w:w="1872"/>
            <w:shd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Datos / consolidación SQLite→PostgreSQL</w:t>
            </w:r>
          </w:p>
        </w:tc>
        <w:tc>
          <w:tcPr>
            <w:tcW w:type="dxa" w:w="7747"/>
            <w:shd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La consolidación de pedidos demo no pudo mapear un cajero porque la cuenta destino no existía. Se documenta consolidación de catálogo/transacciones con respaldo.</w:t>
            </w:r>
          </w:p>
        </w:tc>
        <w:tc>
          <w:tcPr>
            <w:tcW w:type="dxa" w:w="3629"/>
            <w:shd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Alto · Resuelto durante unificación local; conservar respaldo antes de nuevas migraciones.</w:t>
            </w:r>
          </w:p>
        </w:tc>
      </w:tr>
      <w:tr>
        <w:trPr>
          <w:cantSplit/>
        </w:trPr>
        <w:tc>
          <w:tcPr>
            <w:tcW w:type="dxa" w:w="979"/>
            <w:shd w:fill="F2F5F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00A7AD"/>
                <w:sz w:val="14"/>
              </w:rPr>
              <w:t>DEF-020</w:t>
            </w:r>
          </w:p>
        </w:tc>
        <w:tc>
          <w:tcPr>
            <w:tcW w:type="dxa" w:w="1872"/>
            <w:shd w:fill="F2F5F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JMeter / capacidad local</w:t>
            </w:r>
          </w:p>
        </w:tc>
        <w:tc>
          <w:tcPr>
            <w:tcW w:type="dxa" w:w="7747"/>
            <w:shd w:fill="F2F5F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El primer intento de 500 VU registró 1,282 fallos de 2,335 solicitudes (54.9%), promedio 7,535.71 ms y P95 10,016 ms.</w:t>
            </w:r>
          </w:p>
        </w:tc>
        <w:tc>
          <w:tcPr>
            <w:tcW w:type="dxa" w:w="3629"/>
            <w:shd w:fill="F2F5F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Alto · Perfil inicial fallido; el perfil Docker/Nginx/PHP-FPM se ajustó y la corrida sostenida posterior aprobó.</w:t>
            </w:r>
          </w:p>
        </w:tc>
      </w:tr>
      <w:tr>
        <w:trPr>
          <w:cantSplit/>
        </w:trPr>
        <w:tc>
          <w:tcPr>
            <w:tcW w:type="dxa" w:w="979"/>
            <w:shd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00A7AD"/>
                <w:sz w:val="14"/>
              </w:rPr>
              <w:t>DEF-021</w:t>
            </w:r>
          </w:p>
        </w:tc>
        <w:tc>
          <w:tcPr>
            <w:tcW w:type="dxa" w:w="1872"/>
            <w:shd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JMeter / duración del caso</w:t>
            </w:r>
          </w:p>
        </w:tc>
        <w:tc>
          <w:tcPr>
            <w:tcW w:type="dxa" w:w="7747"/>
            <w:shd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Una primera ejecución sin errores configuró 60 s con rampa de 60 s; no dejó un minuto completo de carga estable.</w:t>
            </w:r>
          </w:p>
        </w:tc>
        <w:tc>
          <w:tcPr>
            <w:tcW w:type="dxa" w:w="3629"/>
            <w:shd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Medio · Diseño corregido; la última corrida usa 120 s totales: 60 s de rampa + 60 s plena.</w:t>
            </w:r>
          </w:p>
        </w:tc>
      </w:tr>
      <w:tr>
        <w:trPr>
          <w:cantSplit/>
        </w:trPr>
        <w:tc>
          <w:tcPr>
            <w:tcW w:type="dxa" w:w="979"/>
            <w:shd w:fill="F2F5F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00A7AD"/>
                <w:sz w:val="14"/>
              </w:rPr>
              <w:t>DEF-022</w:t>
            </w:r>
          </w:p>
        </w:tc>
        <w:tc>
          <w:tcPr>
            <w:tcW w:type="dxa" w:w="1872"/>
            <w:shd w:fill="F2F5F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Node / Vite / línea base</w:t>
            </w:r>
          </w:p>
        </w:tc>
        <w:tc>
          <w:tcPr>
            <w:tcW w:type="dxa" w:w="7747"/>
            <w:shd w:fill="F2F5F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La referencia permitía Node 18/20, pero Vite 8 necesita Node 20.19+ o 22.12+. El proyecto fija Node 20.19.0; el equipo detectó Node 24.21 y el build pasó.</w:t>
            </w:r>
          </w:p>
        </w:tc>
        <w:tc>
          <w:tcPr>
            <w:tcW w:type="dxa" w:w="3629"/>
            <w:shd w:fill="F2F5F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Medio · Alineado con .nvmrc; usar versión fijada para reproducibilidad.</w:t>
            </w:r>
          </w:p>
        </w:tc>
      </w:tr>
      <w:tr>
        <w:trPr>
          <w:cantSplit/>
        </w:trPr>
        <w:tc>
          <w:tcPr>
            <w:tcW w:type="dxa" w:w="979"/>
            <w:shd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00A7AD"/>
                <w:sz w:val="14"/>
              </w:rPr>
              <w:t>DEF-023</w:t>
            </w:r>
          </w:p>
        </w:tc>
        <w:tc>
          <w:tcPr>
            <w:tcW w:type="dxa" w:w="1872"/>
            <w:shd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npm / dependencias Tailwind</w:t>
            </w:r>
          </w:p>
        </w:tc>
        <w:tc>
          <w:tcPr>
            <w:tcW w:type="dxa" w:w="7747"/>
            <w:shd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npm reportó 7 avisos de seguridad en el árbol de dependencias conservando Tailwind 3: 5 altos y 2 moderados.</w:t>
            </w:r>
          </w:p>
        </w:tc>
        <w:tc>
          <w:tcPr>
            <w:tcW w:type="dxa" w:w="3629"/>
            <w:shd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Alto · Abierto antes de publicación; corregir o aceptar explícitamente y guardar el resultado de auditoría.</w:t>
            </w:r>
          </w:p>
        </w:tc>
      </w:tr>
      <w:tr>
        <w:trPr>
          <w:cantSplit/>
        </w:trPr>
        <w:tc>
          <w:tcPr>
            <w:tcW w:type="dxa" w:w="979"/>
            <w:shd w:fill="F2F5F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00A7AD"/>
                <w:sz w:val="14"/>
              </w:rPr>
              <w:t>DEF-024</w:t>
            </w:r>
          </w:p>
        </w:tc>
        <w:tc>
          <w:tcPr>
            <w:tcW w:type="dxa" w:w="1872"/>
            <w:shd w:fill="F2F5F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Línea base documental</w:t>
            </w:r>
          </w:p>
        </w:tc>
        <w:tc>
          <w:tcPr>
            <w:tcW w:type="dxa" w:w="7747"/>
            <w:shd w:fill="F2F5F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Los antecedentes tenían alternativas contradictorias de stack y despliegue. La decisión vigente es Laravel/React/Inertia/PostgreSQL local; Render/Supabase queda para futuro.</w:t>
            </w:r>
          </w:p>
        </w:tc>
        <w:tc>
          <w:tcPr>
            <w:tcW w:type="dxa" w:w="3629"/>
            <w:shd w:fill="F2F5F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Medio · Aclarado por decisión del usuario y registrado en docs/FASE_CERO.md; no es defecto funcional.</w:t>
            </w:r>
          </w:p>
        </w:tc>
      </w:tr>
      <w:tr>
        <w:trPr>
          <w:cantSplit/>
        </w:trPr>
        <w:tc>
          <w:tcPr>
            <w:tcW w:type="dxa" w:w="979"/>
            <w:shd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00A7AD"/>
                <w:sz w:val="14"/>
              </w:rPr>
              <w:t>DEF-025</w:t>
            </w:r>
          </w:p>
        </w:tc>
        <w:tc>
          <w:tcPr>
            <w:tcW w:type="dxa" w:w="1872"/>
            <w:shd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Composer / Laravel</w:t>
            </w:r>
          </w:p>
        </w:tc>
        <w:tc>
          <w:tcPr>
            <w:tcW w:type="dxa" w:w="7747"/>
            <w:shd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Composer bloqueó la línea Laravel 11 por alertas/fin del soporte de seguridad. Laravel 11 se descartó y la línea base se actualizó a Laravel 12 con PHP 8.2.</w:t>
            </w:r>
          </w:p>
        </w:tc>
        <w:tc>
          <w:tcPr>
            <w:tcW w:type="dxa" w:w="3629"/>
            <w:shd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Resuelto · Aprobado y documentado; PHPUnit 11 reemplazó PHPUnit 10 por compatibilidad.</w:t>
            </w:r>
          </w:p>
        </w:tc>
      </w:tr>
      <w:tr>
        <w:trPr>
          <w:cantSplit/>
        </w:trPr>
        <w:tc>
          <w:tcPr>
            <w:tcW w:type="dxa" w:w="979"/>
            <w:shd w:fill="F2F5F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00A7AD"/>
                <w:sz w:val="14"/>
              </w:rPr>
              <w:t>DEF-026</w:t>
            </w:r>
          </w:p>
        </w:tc>
        <w:tc>
          <w:tcPr>
            <w:tcW w:type="dxa" w:w="1872"/>
            <w:shd w:fill="F2F5F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Artisan / consola</w:t>
            </w:r>
          </w:p>
        </w:tc>
        <w:tc>
          <w:tcPr>
            <w:tcW w:type="dxa" w:w="7747"/>
            <w:shd w:fill="F2F5F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Se intentó ejecutar Artisan con la opción --compact, que el comando instalado no reconoce.</w:t>
            </w:r>
          </w:p>
        </w:tc>
        <w:tc>
          <w:tcPr>
            <w:tcW w:type="dxa" w:w="3629"/>
            <w:shd w:fill="F2F5F8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Incidente de uso de CLI · No es defecto funcional; conservar comandos reproducibles.</w:t>
            </w:r>
          </w:p>
        </w:tc>
      </w:tr>
      <w:tr>
        <w:trPr>
          <w:cantSplit/>
        </w:trPr>
        <w:tc>
          <w:tcPr>
            <w:tcW w:type="dxa" w:w="979"/>
            <w:shd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00A7AD"/>
                <w:sz w:val="14"/>
              </w:rPr>
              <w:t>DEF-027</w:t>
            </w:r>
          </w:p>
        </w:tc>
        <w:tc>
          <w:tcPr>
            <w:tcW w:type="dxa" w:w="1872"/>
            <w:shd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Tinker / entrada PHP</w:t>
            </w:r>
          </w:p>
        </w:tc>
        <w:tc>
          <w:tcPr>
            <w:tcW w:type="dxa" w:w="7747"/>
            <w:shd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El intérprete registró un error de sintaxis al recibir una instrucción PHP mal formada durante la inspección de datos.</w:t>
            </w:r>
          </w:p>
        </w:tc>
        <w:tc>
          <w:tcPr>
            <w:tcW w:type="dxa" w:w="3629"/>
            <w:shd w:fill="FFFFFF"/>
            <w:vAlign w:val="center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Incidente de consola · No es defecto de la aplicación; usar una sentencia válida o un comando Artisan.</w:t>
            </w:r>
          </w:p>
        </w:tc>
      </w:tr>
    </w:tbl>
    <w:p/>
    <w:p>
      <w:r>
        <w:br w:type="page"/>
      </w:r>
    </w:p>
    <w:p>
      <w:pPr>
        <w:pStyle w:val="Heading1"/>
      </w:pPr>
      <w:r>
        <w:t>4. Evidencias técnicas de V3</w:t>
      </w:r>
    </w:p>
    <w:p>
      <w:pPr>
        <w:spacing w:after="120"/>
      </w:pPr>
      <w:r>
        <w:t>Las siguientes imágenes son extractos legibles generados a partir de registros JSON/log conservados en el proyecto; no son capturas originales del escritorio. Cada una incluye el archivo y la fecha fuente. Las credenciales, rutas del perfil de usuario y datos personales se excluyeron.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86800" cy="21001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_jmeter_fa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2100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06579"/>
          <w:sz w:val="16"/>
        </w:rPr>
        <w:t>DEF-020 · Registro JSON de la primera corrida con fallos; proporción fallida calculada como 1,282 / 2,335.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86800" cy="21001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_jmeter_pa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2100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06579"/>
          <w:sz w:val="16"/>
        </w:rPr>
        <w:t>DEF-020 / DEF-021 · Registro JSON de la corrida sostenida que pasó, en el perfil local Docker.</w:t>
      </w:r>
    </w:p>
    <w:p>
      <w:r>
        <w:br w:type="page"/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86800" cy="40930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_php_extensio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093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06579"/>
          <w:sz w:val="16"/>
        </w:rPr>
        <w:t>DEF-011 / DEF-012 / DEF-017 · Extractos de errores PHP, PostgreSQL/Redis e intl.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86800" cy="369444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_runtime_schem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694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06579"/>
          <w:sz w:val="16"/>
        </w:rPr>
        <w:t>DEF-013 / DEF-014 / DEF-015 · Errores históricos de rutas, relación ORM y esquema.</w:t>
      </w:r>
    </w:p>
    <w:p>
      <w:r>
        <w:br w:type="page"/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86800" cy="269801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_tool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2698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06579"/>
          <w:sz w:val="16"/>
        </w:rPr>
        <w:t>DEF-022 / DEF-023 / DEF-024 · Versiones y compatibilidad; los avisos npm se mantienen como hallazgo abierto.</w:t>
      </w:r>
    </w:p>
    <w:p>
      <w:r>
        <w:br w:type="page"/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86800" cy="34951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_merge_psys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495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06579"/>
          <w:sz w:val="16"/>
        </w:rPr>
        <w:t>DEF-018 / DEF-019 · Fallos de herramientas CLI y mapeo de datos durante consolidación.</w:t>
      </w:r>
    </w:p>
    <w:p>
      <w:r>
        <w:br w:type="page"/>
      </w:r>
    </w:p>
    <w:p>
      <w:pPr>
        <w:pStyle w:val="Heading1"/>
      </w:pPr>
      <w:r>
        <w:t>5. Evidencia de catálogo asociada a los reportes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86800" cy="54195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gacy_catalog_contex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419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06579"/>
          <w:sz w:val="16"/>
        </w:rPr>
        <w:t>DEF-004 / DEF-005 · Captura del catálogo aportada como contexto; muestra tarjetas de producto, no confirma por sí sola ubicación ni operación de ficha técnica.</w:t>
      </w:r>
    </w:p>
    <w:p>
      <w:r>
        <w:br w:type="page"/>
      </w:r>
    </w:p>
    <w:p>
      <w:pPr>
        <w:pStyle w:val="Heading1"/>
      </w:pPr>
      <w:r>
        <w:t>6. Fuentes y criterios de seguimiento</w:t>
      </w:r>
    </w:p>
    <w:p>
      <w:pPr>
        <w:pStyle w:val="ListBullet"/>
        <w:spacing w:after="80"/>
      </w:pPr>
      <w:r>
        <w:t>Errores.docx, entregado por el usuario: lista de reportes y 11 capturas. El archivo también contenía correos, contraseñas y códigos de pedido; el reporte no los reproduce.</w:t>
      </w:r>
    </w:p>
    <w:p>
      <w:pPr>
        <w:pStyle w:val="ListBullet"/>
        <w:spacing w:after="80"/>
      </w:pPr>
      <w:r>
        <w:t>aquarium/storage/logs/laravel.log y logs diarios del 19 al 21/10/2026: excepciones de PHP/Laravel, conexiones, migraciones y consola.</w:t>
      </w:r>
    </w:p>
    <w:p>
      <w:pPr>
        <w:pStyle w:val="ListBullet"/>
        <w:spacing w:after="80"/>
      </w:pPr>
      <w:r>
        <w:t>aquarium/storage/app/testing/jmeter/AQUARIUM_JMETER_REPORT_20261019_170051.json: corrida fallida de 500 VU.</w:t>
      </w:r>
    </w:p>
    <w:p>
      <w:pPr>
        <w:pStyle w:val="ListBullet"/>
        <w:spacing w:after="80"/>
      </w:pPr>
      <w:r>
        <w:t>aquarium/storage/app/testing/jmeter/latest.json y aquarium/storage/app/testing/jmeter/aquarium_20261019_192646.jtl: corrida sostenida de 500 VU y evidencia granular.</w:t>
      </w:r>
    </w:p>
    <w:p>
      <w:pPr>
        <w:pStyle w:val="ListBullet"/>
        <w:spacing w:after="80"/>
      </w:pPr>
      <w:r>
        <w:t>aquarium/jmeter.log: salida de JMeter y generación del dashboard.</w:t>
      </w:r>
    </w:p>
    <w:p>
      <w:pPr>
        <w:pStyle w:val="ListBullet"/>
        <w:spacing w:after="80"/>
      </w:pPr>
      <w:r>
        <w:t>aquarium/docs/FASE_CERO.md, README.md, composer.json, package.json y .nvmrc: stack, herramientas, versiones, estado de pruebas y limitaciones.</w:t>
      </w:r>
    </w:p>
    <w:p>
      <w:pPr>
        <w:pStyle w:val="ListBullet"/>
        <w:spacing w:after="80"/>
      </w:pPr>
      <w:r>
        <w:t>Historial Git local: commit 38d9d468 “Fix local Inertia page entry and theme”; commits restantes documentan cambios de V3 y la configuración local.</w:t>
      </w:r>
    </w:p>
    <w:p>
      <w:pPr>
        <w:pStyle w:val="Heading2"/>
      </w:pPr>
      <w:r>
        <w:t>Pendientes recomendados</w:t>
      </w:r>
    </w:p>
    <w:p>
      <w:pPr>
        <w:pStyle w:val="ListBullet"/>
        <w:spacing w:after="80"/>
      </w:pPr>
      <w:r>
        <w:t>Repetir cada hallazgo funcional abierto con precondiciones, rol, datos de prueba, pasos y resultado esperado; asignar versión y fecha a los reportes originales.</w:t>
      </w:r>
    </w:p>
    <w:p>
      <w:pPr>
        <w:pStyle w:val="ListBullet"/>
        <w:spacing w:after="80"/>
      </w:pPr>
      <w:r>
        <w:t>Ejecutar pruebas específicas de veterinario, ubicación física, ficha técnica y búsqueda Click &amp; Collect en PostgreSQL local.</w:t>
      </w:r>
    </w:p>
    <w:p>
      <w:pPr>
        <w:pStyle w:val="ListBullet"/>
        <w:spacing w:after="80"/>
      </w:pPr>
      <w:r>
        <w:t>Convertir REQ-001 en un caso de concurrencia explícito; no usar el resultado de JMeter público como evidencia de usuarios autenticados.</w:t>
      </w:r>
    </w:p>
    <w:p>
      <w:pPr>
        <w:pStyle w:val="ListBullet"/>
        <w:spacing w:after="80"/>
      </w:pPr>
      <w:r>
        <w:t>Resolver o aceptar formalmente los 7 avisos npm antes de cualquier publicación; guardar el reporte de auditoría resultante.</w:t>
      </w:r>
    </w:p>
    <w:p>
      <w:pPr>
        <w:pStyle w:val="ListBullet"/>
        <w:spacing w:after="80"/>
      </w:pPr>
      <w:r>
        <w:t>Vincular cada DEF con el caso del plan de pruebas y una evidencia posterior a la corrección para cerrar la trazabilidad.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06579"/>
        <w:sz w:val="16"/>
      </w:rPr>
      <w:t xml:space="preserve">AQUARIUM  •  Matriz de defectos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0A7AD"/>
        <w:sz w:val="16"/>
      </w:rPr>
      <w:t>AQUARIUM  /  CONTROL DE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734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E243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E243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E2438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errores y defectos AQUARIUM V1 V2 V3</dc:title>
  <dc:subject>Incidencias reportadas, errores técnicos V3 y evidencias locales</dc:subject>
  <dc:creator>AQUARIUM - Control de calidad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