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2244"/>
          <w:sz w:val="40"/>
        </w:rPr>
        <w:t>CYBER WARFARE, EXPLOITATION TECHNIQUES, AND DEFENSIVE ARCHITECTURE</w:t>
      </w:r>
    </w:p>
    <w:p>
      <w:pPr>
        <w:spacing w:after="400"/>
        <w:jc w:val="center"/>
      </w:pPr>
      <w:r>
        <w:rPr>
          <w:rFonts w:ascii="Arial" w:hAnsi="Arial"/>
          <w:i/>
          <w:color w:val="555555"/>
          <w:sz w:val="22"/>
        </w:rPr>
        <w:t>A Technical Survey of Low-Level Memory Corruption, Persistence Mechanisms, Evasion Tradecraft, and Defensive Engineering</w:t>
      </w:r>
    </w:p>
    <w:p>
      <w:pPr>
        <w:jc w:val="center"/>
      </w:pPr>
      <w:r>
        <w:t>─────────────────────────────────────────────────────────────────</w:t>
      </w:r>
    </w:p>
    <w:p>
      <w:pPr>
        <w:keepNext/>
        <w:spacing w:before="360" w:after="120"/>
      </w:pPr>
      <w:r>
        <w:rPr>
          <w:rFonts w:ascii="Arial" w:hAnsi="Arial"/>
          <w:b/>
          <w:color w:val="003366"/>
          <w:sz w:val="28"/>
        </w:rPr>
        <w:t>SECTION I: THE HUMAN VULNERABILITY: SOCIAL ENGINEERING &amp; ACCESS VECTOR TRADECRAFT</w:t>
      </w:r>
    </w:p>
    <w:p>
      <w:pPr>
        <w:keepNext/>
        <w:spacing w:before="240" w:after="60"/>
      </w:pPr>
      <w:r>
        <w:rPr>
          <w:rFonts w:ascii="Arial" w:hAnsi="Arial"/>
          <w:b/>
          <w:color w:val="771111"/>
          <w:sz w:val="22"/>
        </w:rPr>
        <w:t>1.1 The Psychology of Social Engineering: Why Human Factor Exploitation Dominates</w:t>
      </w:r>
    </w:p>
    <w:p>
      <w:pPr>
        <w:spacing w:after="100" w:line="276" w:lineRule="auto"/>
      </w:pPr>
      <w:r>
        <w:rPr>
          <w:rFonts w:ascii="Calibri" w:hAnsi="Calibri"/>
          <w:sz w:val="22"/>
        </w:rPr>
        <w:t>In modern cybersecurity, technical perimeters frequently feature advanced encryption, multi-layered firewalls, and heuristic anomaly detection. However, human operators remain the primary access vector for initial network compromise. Social engineering bypasses cryptographic defenses by targeting fundamental cognitive tendencies: trust in authority, willingness to assist, fear of operational disruption, and urgency. Security protocols often fail when operational friction tempts personnel to bypass multi-step verification procedures.</w:t>
      </w:r>
    </w:p>
    <w:p>
      <w:pPr>
        <w:spacing w:after="100" w:line="276" w:lineRule="auto"/>
      </w:pPr>
      <w:r>
        <w:rPr>
          <w:rFonts w:ascii="Calibri" w:hAnsi="Calibri"/>
          <w:sz w:val="22"/>
        </w:rPr>
        <w:t>Pioneering security practitioners historically demonstrated that non-technical deception frequently yields high-value credentials faster than cryptographic attacks. Rather than spending weeks reverse-engineering defensive perimeters, threat actors analyze organizational structures to identify support desks, contractors, or newly onboarded staff who possess system privileges but lack specialized counter-deception training.</w:t>
      </w:r>
    </w:p>
    <w:p>
      <w:pPr>
        <w:keepNext/>
        <w:spacing w:before="240" w:after="60"/>
      </w:pPr>
      <w:r>
        <w:rPr>
          <w:rFonts w:ascii="Arial" w:hAnsi="Arial"/>
          <w:b/>
          <w:color w:val="771111"/>
          <w:sz w:val="22"/>
        </w:rPr>
        <w:t>1.2 Pretexting and High-Target Spear-Phishing Mechanics</w:t>
      </w:r>
    </w:p>
    <w:p>
      <w:pPr>
        <w:spacing w:after="100" w:line="276" w:lineRule="auto"/>
      </w:pPr>
      <w:r>
        <w:rPr>
          <w:rFonts w:ascii="Calibri" w:hAnsi="Calibri"/>
          <w:sz w:val="22"/>
        </w:rPr>
        <w:t>Untargeted mass phishing campaigns rely on high volume with low conversion rates. By contrast, advanced spear-phishing involves comprehensive open-source intelligence (OSINT) collection. Analysts examine corporate organizational charts, regulatory filings, vendor ecosystems, and employee social profiles to establish convincing pretexts. Phishing lures frequently mimic internal administrative communications, such as travel expense reimbursements, human resources policy updates, or IT ticket resolutions, utilizing visually identical lookalike domains.</w:t>
      </w:r>
    </w:p>
    <w:p>
      <w:pPr>
        <w:spacing w:after="100" w:line="276" w:lineRule="auto"/>
      </w:pPr>
      <w:r>
        <w:rPr>
          <w:rFonts w:ascii="Calibri" w:hAnsi="Calibri"/>
          <w:sz w:val="22"/>
        </w:rPr>
        <w:t>Modern spear-phishing often incorporates adversary-in-the-middle (AiTM) proxy infrastructure. When an employee interacts with a deceptive authentication portal, the proxy intercepts the session token and credentials in real time, relaying them to the legitimate service. This technique allows attackers to capture authenticated session cookies, bypassing standard SMS or app-based multi-factor authentication (MFA) prompts without requiring direct access to the user's secondary physical device.</w:t>
      </w:r>
    </w:p>
    <w:p>
      <w:pPr>
        <w:keepNext/>
        <w:spacing w:before="240" w:after="60"/>
      </w:pPr>
      <w:r>
        <w:rPr>
          <w:rFonts w:ascii="Arial" w:hAnsi="Arial"/>
          <w:b/>
          <w:color w:val="771111"/>
          <w:sz w:val="22"/>
        </w:rPr>
        <w:t>1.3 Helpdesk Compromise: The Modern Enterprise Attack Pattern</w:t>
      </w:r>
    </w:p>
    <w:p>
      <w:pPr>
        <w:spacing w:after="100" w:line="276" w:lineRule="auto"/>
      </w:pPr>
      <w:r>
        <w:rPr>
          <w:rFonts w:ascii="Calibri" w:hAnsi="Calibri"/>
          <w:sz w:val="22"/>
        </w:rPr>
        <w:t>Recent major enterprise intrusions demonstrate the vulnerability of decentralized helpdesk verification. Threat actors impersonate legitimate personnel experiencing hardware failure or credential lockouts, contacting internal IT support desks directly. By leveraging basic employee biographical data acquired through prior data aggregation, attackers persuade support technicians to reset registered multi-factor authentication tokens or issue temporary session credentials.</w:t>
      </w:r>
    </w:p>
    <w:p>
      <w:pPr>
        <w:spacing w:after="100" w:line="276" w:lineRule="auto"/>
      </w:pPr>
      <w:r>
        <w:rPr>
          <w:rFonts w:ascii="Calibri" w:hAnsi="Calibri"/>
          <w:sz w:val="22"/>
        </w:rPr>
        <w:t>Once administrative access is provisioned, attackers establish persistence across cloud directories and identity providers. Compromises of this nature bypass perimeter endpoint defenses entirely, granting the adversary valid credentials that mimic authorized administrative activity across identity platforms such as Okta, Azure Active Directory, and on-premises domain controllers.</w:t>
      </w:r>
    </w:p>
    <w:p>
      <w:pPr>
        <w:keepNext/>
        <w:spacing w:before="240" w:after="60"/>
      </w:pPr>
      <w:r>
        <w:rPr>
          <w:rFonts w:ascii="Arial" w:hAnsi="Arial"/>
          <w:b/>
          <w:color w:val="771111"/>
          <w:sz w:val="22"/>
        </w:rPr>
        <w:t>1.4 Voice Cloning, Deepfakes, and Next-Generation Social Deception</w:t>
      </w:r>
    </w:p>
    <w:p>
      <w:pPr>
        <w:spacing w:after="100" w:line="276" w:lineRule="auto"/>
      </w:pPr>
      <w:r>
        <w:rPr>
          <w:rFonts w:ascii="Calibri" w:hAnsi="Calibri"/>
          <w:sz w:val="22"/>
        </w:rPr>
        <w:t>The proliferation of generative deep learning models has substantially altered social engineering threat models. Using short audio samples collected from public earnings calls or conference recordings, threat actors can synthesize vocal replicas of senior executives, replicating speech cadences, accents, and emotional inflections. These synthesized voices are deployed in vishing (voice phishing) calls to treasury or operational staff to authorize urgent capital transfers or credential resets.</w:t>
      </w:r>
    </w:p>
    <w:p>
      <w:pPr>
        <w:spacing w:after="100" w:line="276" w:lineRule="auto"/>
      </w:pPr>
      <w:r>
        <w:rPr>
          <w:rFonts w:ascii="Calibri" w:hAnsi="Calibri"/>
          <w:sz w:val="22"/>
        </w:rPr>
        <w:t>In multi-party communication environments, video synthesis has progressed to real-time generative video conferencing lures. By presenting synthetic representations of corporate leadership on remote meetings, attackers create authoritative pretexts that convince compliance officers to execute unauthorized transactions, demonstrating the diminishing reliability of unauthenticated visual and acoustic verification.</w:t>
      </w:r>
    </w:p>
    <w:p>
      <w:pPr>
        <w:keepNext/>
        <w:spacing w:before="360" w:after="120"/>
      </w:pPr>
      <w:r>
        <w:rPr>
          <w:rFonts w:ascii="Arial" w:hAnsi="Arial"/>
          <w:b/>
          <w:color w:val="003366"/>
          <w:sz w:val="28"/>
        </w:rPr>
        <w:t>SECTION II: MEMORY CORRUPTION &amp; LOW-LEVEL EXPLOITATION MECHANICS</w:t>
      </w:r>
    </w:p>
    <w:p>
      <w:pPr>
        <w:keepNext/>
        <w:spacing w:before="240" w:after="60"/>
      </w:pPr>
      <w:r>
        <w:rPr>
          <w:rFonts w:ascii="Arial" w:hAnsi="Arial"/>
          <w:b/>
          <w:color w:val="771111"/>
          <w:sz w:val="22"/>
        </w:rPr>
        <w:t>2.1 The Vulnerability of Memory-Unsafe Languages (C/C++)</w:t>
      </w:r>
    </w:p>
    <w:p>
      <w:pPr>
        <w:spacing w:after="100" w:line="276" w:lineRule="auto"/>
      </w:pPr>
      <w:r>
        <w:rPr>
          <w:rFonts w:ascii="Calibri" w:hAnsi="Calibri"/>
          <w:sz w:val="22"/>
        </w:rPr>
        <w:t>Core system components—operating system kernels, web browser rendering engines, network protocol stacks, and device drivers—are predominantly constructed in C and C++ to maximize execution speed and low-level hardware control. However, these languages require manual memory allocation and pointer management, lacking intrinsic memory safety boundaries. Failure to validate input lengths or pointer lifecycles introduces critical flaws that expose underlying system registers.</w:t>
      </w:r>
    </w:p>
    <w:p>
      <w:pPr>
        <w:spacing w:after="100" w:line="276" w:lineRule="auto"/>
      </w:pPr>
      <w:r>
        <w:rPr>
          <w:rFonts w:ascii="Calibri" w:hAnsi="Calibri"/>
          <w:sz w:val="22"/>
        </w:rPr>
        <w:t>When an application processes data beyond allocated boundaries, memory layouts can be manipulated. If an adversary controls the values written to memory addresses, the CPU can be redirected from legitimate program sequences to arbitrary instructions chosen by the attacker, shifting control from the application to the adversary.</w:t>
      </w:r>
    </w:p>
    <w:p>
      <w:pPr>
        <w:keepNext/>
        <w:spacing w:before="240" w:after="60"/>
      </w:pPr>
      <w:r>
        <w:rPr>
          <w:rFonts w:ascii="Arial" w:hAnsi="Arial"/>
          <w:b/>
          <w:color w:val="771111"/>
          <w:sz w:val="22"/>
        </w:rPr>
        <w:t>2.2 Classical Stack-Based Buffer Overflows and Instruction Pointer Overwrites</w:t>
      </w:r>
    </w:p>
    <w:p>
      <w:pPr>
        <w:spacing w:after="100" w:line="276" w:lineRule="auto"/>
      </w:pPr>
      <w:r>
        <w:rPr>
          <w:rFonts w:ascii="Calibri" w:hAnsi="Calibri"/>
          <w:sz w:val="22"/>
        </w:rPr>
        <w:t>The process call stack organizes function calls, local variables, and return addresses. When a function executes, it reserves a stack frame containing a base pointer and an instruction return pointer (EIP on x86, RIP on x64), which informs the CPU where to resume execution once the function concludes. If an input function copies data into a stack buffer without length checking, excess bytes overwrite adjacent memory.</w:t>
      </w:r>
    </w:p>
    <w:p>
      <w:pPr>
        <w:spacing w:after="100" w:line="276" w:lineRule="auto"/>
      </w:pPr>
      <w:r>
        <w:rPr>
          <w:rFonts w:ascii="Calibri" w:hAnsi="Calibri"/>
          <w:sz w:val="22"/>
        </w:rPr>
        <w:t>In a classic buffer overflow, input data fills the designated buffer, overwrites the base pointer, and replaces the stored return pointer with a target memory address. When the function returns, the processor loads the modified return address into the instruction pointer, transferring CPU execution to the attacker's designated address space.</w:t>
      </w:r>
    </w:p>
    <w:p>
      <w:pPr>
        <w:keepNext/>
        <w:spacing w:before="240" w:after="60"/>
      </w:pPr>
      <w:r>
        <w:rPr>
          <w:rFonts w:ascii="Arial" w:hAnsi="Arial"/>
          <w:b/>
          <w:color w:val="771111"/>
          <w:sz w:val="22"/>
        </w:rPr>
        <w:t>2.3 Precise Offset Calculation: Pattern Generation and Debugger Analysis</w:t>
      </w:r>
    </w:p>
    <w:p>
      <w:pPr>
        <w:spacing w:after="100" w:line="276" w:lineRule="auto"/>
      </w:pPr>
      <w:r>
        <w:rPr>
          <w:rFonts w:ascii="Calibri" w:hAnsi="Calibri"/>
          <w:sz w:val="22"/>
        </w:rPr>
        <w:t>Exploitation requires precise structural measurement rather than random memory overwrites. Security researchers and exploit developers utilize debuggers (e.g., GDB, x64dbg, WinDbg) to observe register states during controlled crash cycles. To identify the exact offset required to overwrite the instruction pointer, analysts inject cyclic, non-repeating alphanumeric strings into the target application.</w:t>
      </w:r>
    </w:p>
    <w:p>
      <w:pPr>
        <w:spacing w:after="100" w:line="276" w:lineRule="auto"/>
      </w:pPr>
      <w:r>
        <w:rPr>
          <w:rFonts w:ascii="Calibri" w:hAnsi="Calibri"/>
          <w:sz w:val="22"/>
        </w:rPr>
        <w:t>When the application terminates due to an access violation, the debugger captures the exact value residing in the instruction register. By calculating the mathematical position of that specific four- or eight-byte sequence within the cyclic pattern, the developer determines the exact byte count required before taking control of the instruction pointer.</w:t>
      </w:r>
    </w:p>
    <w:p>
      <w:pPr>
        <w:keepNext/>
        <w:spacing w:before="240" w:after="60"/>
      </w:pPr>
      <w:r>
        <w:rPr>
          <w:rFonts w:ascii="Arial" w:hAnsi="Arial"/>
          <w:b/>
          <w:color w:val="771111"/>
          <w:sz w:val="22"/>
        </w:rPr>
        <w:t>2.4 Landing Zones: NOP Sleds and Shellcode Delivery</w:t>
      </w:r>
    </w:p>
    <w:p>
      <w:pPr>
        <w:spacing w:after="100" w:line="276" w:lineRule="auto"/>
      </w:pPr>
      <w:r>
        <w:rPr>
          <w:rFonts w:ascii="Calibri" w:hAnsi="Calibri"/>
          <w:sz w:val="22"/>
        </w:rPr>
        <w:t>Historically, shellcode—a compact sequence of raw machine instructions designed to open a command shell or reverse network connection—was placed directly onto the stack. Because runtime memory addresses can vary slightly between environments, developers frequently prepended shellcode with a 'NOP Sled'—a sequence of No-Operation assembly instructions (opcode 0x90).</w:t>
      </w:r>
    </w:p>
    <w:p>
      <w:pPr>
        <w:spacing w:after="100" w:line="276" w:lineRule="auto"/>
      </w:pPr>
      <w:r>
        <w:rPr>
          <w:rFonts w:ascii="Calibri" w:hAnsi="Calibri"/>
          <w:sz w:val="22"/>
        </w:rPr>
        <w:t>If the instruction pointer redirected execution to any address within the NOP sequence, the CPU slid down the instructions without performing state changes until reaching the shellcode payload. This tolerance minimized the need for absolute address accuracy across diverse target systems.</w:t>
      </w:r>
    </w:p>
    <w:p>
      <w:pPr>
        <w:keepNext/>
        <w:spacing w:before="240" w:after="60"/>
      </w:pPr>
      <w:r>
        <w:rPr>
          <w:rFonts w:ascii="Arial" w:hAnsi="Arial"/>
          <w:b/>
          <w:color w:val="771111"/>
          <w:sz w:val="22"/>
        </w:rPr>
        <w:t>2.5 Modern Memory Flaws: Use-After-Free (UAF) and Type Confusion</w:t>
      </w:r>
    </w:p>
    <w:p>
      <w:pPr>
        <w:spacing w:after="100" w:line="276" w:lineRule="auto"/>
      </w:pPr>
      <w:r>
        <w:rPr>
          <w:rFonts w:ascii="Calibri" w:hAnsi="Calibri"/>
          <w:sz w:val="22"/>
        </w:rPr>
        <w:t>As stack protections improved, exploit research shifted to dynamic memory (the heap). A Use-After-Free (UAF) condition occurs when an application frees an allocated memory object but retains an active pointer reference to that address. If a subsequent operation allocates new data into that same memory slot, the dangling pointer references the new object unexpectedly.</w:t>
      </w:r>
    </w:p>
    <w:p>
      <w:pPr>
        <w:spacing w:after="100" w:line="276" w:lineRule="auto"/>
      </w:pPr>
      <w:r>
        <w:rPr>
          <w:rFonts w:ascii="Calibri" w:hAnsi="Calibri"/>
          <w:sz w:val="22"/>
        </w:rPr>
        <w:t>By carefully timing memory allocations and deallocations ('heap grooming'), an attacker can replace the freed object with crafted data containing function pointers. When the application attempts to call a method on the original object, it executes the attacker's pointers. Similarly, Type Confusion vulnerabilities trick the engine into processing an object of one data type as another, allowing attackers to access unauthorized memory offsets.</w:t>
      </w:r>
    </w:p>
    <w:p>
      <w:pPr>
        <w:keepNext/>
        <w:spacing w:before="240" w:after="60"/>
      </w:pPr>
      <w:r>
        <w:rPr>
          <w:rFonts w:ascii="Arial" w:hAnsi="Arial"/>
          <w:b/>
          <w:color w:val="771111"/>
          <w:sz w:val="22"/>
        </w:rPr>
        <w:t>2.6 Defensive Mitigations: DEP/NX and ASLR Mechanics</w:t>
      </w:r>
    </w:p>
    <w:p>
      <w:pPr>
        <w:spacing w:after="100" w:line="276" w:lineRule="auto"/>
      </w:pPr>
      <w:r>
        <w:rPr>
          <w:rFonts w:ascii="Calibri" w:hAnsi="Calibri"/>
          <w:sz w:val="22"/>
        </w:rPr>
        <w:t>Modern operating systems deploy two primary hardware-backed defenses against memory corruption: Data Execution Prevention (DEP / NX) and Address Space Layout Randomization (ASLR). DEP leverages the CPU's memory management unit to mark memory pages as either writable or executable, but not both. Under DEP, even if shellcode is placed onto the stack or heap, the CPU refuses to execute instructions from those memory pages, terminating the process with an access violation.</w:t>
      </w:r>
    </w:p>
    <w:p>
      <w:pPr>
        <w:spacing w:after="100" w:line="276" w:lineRule="auto"/>
      </w:pPr>
      <w:r>
        <w:rPr>
          <w:rFonts w:ascii="Calibri" w:hAnsi="Calibri"/>
          <w:sz w:val="22"/>
        </w:rPr>
        <w:t>ASLR mitigates predictable addressing by randomizing the memory locations of program components—the stack, heap, and loaded shared libraries—at runtime. Because memory addresses change on every system boot and process initialization, hardcoded memory references in exploits fail, causing application crashes rather than code execution.</w:t>
      </w:r>
    </w:p>
    <w:p>
      <w:pPr>
        <w:keepNext/>
        <w:spacing w:before="240" w:after="60"/>
      </w:pPr>
      <w:r>
        <w:rPr>
          <w:rFonts w:ascii="Arial" w:hAnsi="Arial"/>
          <w:b/>
          <w:color w:val="771111"/>
          <w:sz w:val="22"/>
        </w:rPr>
        <w:t>2.7 Bypassing Mitigations: Return-Oriented Programming (ROP)</w:t>
      </w:r>
    </w:p>
    <w:p>
      <w:pPr>
        <w:spacing w:after="100" w:line="276" w:lineRule="auto"/>
      </w:pPr>
      <w:r>
        <w:rPr>
          <w:rFonts w:ascii="Calibri" w:hAnsi="Calibri"/>
          <w:sz w:val="22"/>
        </w:rPr>
        <w:t>To bypass DEP, modern exploit development utilizes Return-Oriented Programming (ROP). Instead of injecting new executable code, ROP locates small, pre-existing instruction sequences ('gadgets') within legitimate executable memory modules (such as ntdll.dll or libc). Each gadget executes one or two assembly operations before concluding with a 'return' (RET) instruction.</w:t>
      </w:r>
    </w:p>
    <w:p>
      <w:pPr>
        <w:spacing w:after="100" w:line="276" w:lineRule="auto"/>
      </w:pPr>
      <w:r>
        <w:rPr>
          <w:rFonts w:ascii="Calibri" w:hAnsi="Calibri"/>
          <w:sz w:val="22"/>
        </w:rPr>
        <w:t>By chaining gadget addresses on the stack, the exploit executes existing system code sequentially to perform calculations, adjust registers, and call native system memory APIs (such as VirtualProtect on Windows or mprotect on Linux) to change the permissions of an allocated memory block from read-write to read-write-execute. Once permissions are altered, shellcode execution proceeds, bypassing DEP.</w:t>
      </w:r>
    </w:p>
    <w:p>
      <w:pPr>
        <w:keepNext/>
        <w:spacing w:before="360" w:after="120"/>
      </w:pPr>
      <w:r>
        <w:rPr>
          <w:rFonts w:ascii="Arial" w:hAnsi="Arial"/>
          <w:b/>
          <w:color w:val="003366"/>
          <w:sz w:val="28"/>
        </w:rPr>
        <w:t>SECTION III: BROWSER EXPLOITATION &amp; REMOTE CODE EXECUTION CHAINS</w:t>
      </w:r>
    </w:p>
    <w:p>
      <w:pPr>
        <w:keepNext/>
        <w:spacing w:before="240" w:after="60"/>
      </w:pPr>
      <w:r>
        <w:rPr>
          <w:rFonts w:ascii="Arial" w:hAnsi="Arial"/>
          <w:b/>
          <w:color w:val="771111"/>
          <w:sz w:val="22"/>
        </w:rPr>
        <w:t>3.1 The Web Browser as an Execution Engine</w:t>
      </w:r>
    </w:p>
    <w:p>
      <w:pPr>
        <w:spacing w:after="100" w:line="276" w:lineRule="auto"/>
      </w:pPr>
      <w:r>
        <w:rPr>
          <w:rFonts w:ascii="Calibri" w:hAnsi="Calibri"/>
          <w:sz w:val="22"/>
        </w:rPr>
        <w:t>Web browsers function as complex runtime environments designed to download untrusted code from external web servers and execute it locally at high speed. Browser rendering and script engines (such as Chrome's V8, Safari's JavaScriptCore, and Firefox's SpiderMonkey) employ Just-In-Time (JIT) compilation, compiling dynamic JavaScript into native machine code at runtime to optimize performance.</w:t>
      </w:r>
    </w:p>
    <w:p>
      <w:pPr>
        <w:spacing w:after="100" w:line="276" w:lineRule="auto"/>
      </w:pPr>
      <w:r>
        <w:rPr>
          <w:rFonts w:ascii="Calibri" w:hAnsi="Calibri"/>
          <w:sz w:val="22"/>
        </w:rPr>
        <w:t>JIT compilers frequently introduce optimization bugs. If the JIT engine makes an incorrect assumption regarding variable types during speculative optimization, it can generate machine code that introduces type confusion or out-of-bounds array access in memory, creating a path for remote code execution.</w:t>
      </w:r>
    </w:p>
    <w:p>
      <w:pPr>
        <w:keepNext/>
        <w:spacing w:before="240" w:after="60"/>
      </w:pPr>
      <w:r>
        <w:rPr>
          <w:rFonts w:ascii="Arial" w:hAnsi="Arial"/>
          <w:b/>
          <w:color w:val="771111"/>
          <w:sz w:val="22"/>
        </w:rPr>
        <w:t>3.2 Sandbox Architectures and Sandbox Escape Chains</w:t>
      </w:r>
    </w:p>
    <w:p>
      <w:pPr>
        <w:spacing w:after="100" w:line="276" w:lineRule="auto"/>
      </w:pPr>
      <w:r>
        <w:rPr>
          <w:rFonts w:ascii="Calibri" w:hAnsi="Calibri"/>
          <w:sz w:val="22"/>
        </w:rPr>
        <w:t>To contain renderer compromises, modern web browsers enforce multi-process sandbox architectures. The renderer process, which parses untrusted HTML and executes JavaScript, operates with minimal operating system privileges, restricted from accessing the local file system, network sockets, or peripheral devices directly. An exploit that achieves code execution inside the renderer remains trapped within the sandbox.</w:t>
      </w:r>
    </w:p>
    <w:p>
      <w:pPr>
        <w:spacing w:after="100" w:line="276" w:lineRule="auto"/>
      </w:pPr>
      <w:r>
        <w:rPr>
          <w:rFonts w:ascii="Calibri" w:hAnsi="Calibri"/>
          <w:sz w:val="22"/>
        </w:rPr>
        <w:t>Consequently, zero-day browser exploits require multi-vulnerability 'exploit chains.' Attackers pair an initial renderer vulnerability with a secondary exploit targeting operating system kernel APIs, graphics drivers, or inter-process communication (IPC) channels. The secondary exploit escapes the sandbox boundary, elevating execution privileges to standard user or system levels.</w:t>
      </w:r>
    </w:p>
    <w:p>
      <w:pPr>
        <w:keepNext/>
        <w:spacing w:before="240" w:after="60"/>
      </w:pPr>
      <w:r>
        <w:rPr>
          <w:rFonts w:ascii="Arial" w:hAnsi="Arial"/>
          <w:b/>
          <w:color w:val="771111"/>
          <w:sz w:val="22"/>
        </w:rPr>
        <w:t>3.3 Reverse Shell Mechanics: Bypassing Perimeter Firewalls</w:t>
      </w:r>
    </w:p>
    <w:p>
      <w:pPr>
        <w:spacing w:after="100" w:line="276" w:lineRule="auto"/>
      </w:pPr>
      <w:r>
        <w:rPr>
          <w:rFonts w:ascii="Calibri" w:hAnsi="Calibri"/>
          <w:sz w:val="22"/>
        </w:rPr>
        <w:t>Once code executes on a target endpoint, direct inbound connections from an external server are typically blocked by network address translation (NAT) and perimeter firewalls. To establish communication, payloads initiate outbound connections back to the attacker's listener ('Reverse Shell').</w:t>
      </w:r>
    </w:p>
    <w:p>
      <w:pPr>
        <w:spacing w:after="100" w:line="276" w:lineRule="auto"/>
      </w:pPr>
      <w:r>
        <w:rPr>
          <w:rFonts w:ascii="Calibri" w:hAnsi="Calibri"/>
          <w:sz w:val="22"/>
        </w:rPr>
        <w:t>Reverse connections egress over standard outbound ports (such as TCP port 443 for HTTPS or port 80 for HTTP), often encapsulated in standard TLS encryption. Network perimeter devices evaluate the traffic as standard web browsing, allowing the connection to pass without triggering default firewall ingress alerts.</w:t>
      </w:r>
    </w:p>
    <w:p>
      <w:pPr>
        <w:keepNext/>
        <w:spacing w:before="360" w:after="120"/>
      </w:pPr>
      <w:r>
        <w:rPr>
          <w:rFonts w:ascii="Arial" w:hAnsi="Arial"/>
          <w:b/>
          <w:color w:val="003366"/>
          <w:sz w:val="28"/>
        </w:rPr>
        <w:t>SECTION IV: ADVANCED EVASION TRADECRAFT &amp; MEMORY-ONLY OPERATIONS</w:t>
      </w:r>
    </w:p>
    <w:p>
      <w:pPr>
        <w:keepNext/>
        <w:spacing w:before="240" w:after="60"/>
      </w:pPr>
      <w:r>
        <w:rPr>
          <w:rFonts w:ascii="Arial" w:hAnsi="Arial"/>
          <w:b/>
          <w:color w:val="771111"/>
          <w:sz w:val="22"/>
        </w:rPr>
        <w:t>4.1 Living Off the Land (LotL) and Dual-Use Binaries</w:t>
      </w:r>
    </w:p>
    <w:p>
      <w:pPr>
        <w:spacing w:after="100" w:line="276" w:lineRule="auto"/>
      </w:pPr>
      <w:r>
        <w:rPr>
          <w:rFonts w:ascii="Calibri" w:hAnsi="Calibri"/>
          <w:sz w:val="22"/>
        </w:rPr>
        <w:t>Modern endpoint detection and response (EDR) platforms monitor file creation and compare executable hashes against threat intelligence databases. Advanced threat actors minimize custom binaries, employing 'Living Off the Land' (LotL) tradecraft by utilizing legitimate, digitally signed administrative utilities pre-installed within the operating system (known as LOLBins on Windows).</w:t>
      </w:r>
    </w:p>
    <w:p>
      <w:pPr>
        <w:spacing w:after="100" w:line="276" w:lineRule="auto"/>
      </w:pPr>
      <w:r>
        <w:rPr>
          <w:rFonts w:ascii="Calibri" w:hAnsi="Calibri"/>
          <w:sz w:val="22"/>
        </w:rPr>
        <w:t>Utilities such as PowerShell, WMI, CertUtil, BITSAdmin, and Rundll32 are executed to download payloads, execute scripts, and inspect network configurations. Because these tools are native, signed, and routine components of enterprise management, malicious commands blend into baseline administrative activity, requiring behavioral analytics to detect.</w:t>
      </w:r>
    </w:p>
    <w:p>
      <w:pPr>
        <w:keepNext/>
        <w:spacing w:before="240" w:after="60"/>
      </w:pPr>
      <w:r>
        <w:rPr>
          <w:rFonts w:ascii="Arial" w:hAnsi="Arial"/>
          <w:b/>
          <w:color w:val="771111"/>
          <w:sz w:val="22"/>
        </w:rPr>
        <w:t>4.2 Fileless Execution: Memory-Only Code Injection</w:t>
      </w:r>
    </w:p>
    <w:p>
      <w:pPr>
        <w:spacing w:after="100" w:line="276" w:lineRule="auto"/>
      </w:pPr>
      <w:r>
        <w:rPr>
          <w:rFonts w:ascii="Calibri" w:hAnsi="Calibri"/>
          <w:sz w:val="22"/>
        </w:rPr>
        <w:t>To evade disk-based static file scanners, payloads are executed entirely within volatile memory (RAM). Technicians utilize techniques such as Reflective DLL Injection, Process Hollowing, and Process Doppelgänging. In Process Hollowing, an attacker spawns a legitimate, benign system process (such as svchost.exe) in a suspended state, unmaps its executable image from memory, replaces it with malicious code, and resumes thread execution.</w:t>
      </w:r>
    </w:p>
    <w:p>
      <w:pPr>
        <w:spacing w:after="100" w:line="276" w:lineRule="auto"/>
      </w:pPr>
      <w:r>
        <w:rPr>
          <w:rFonts w:ascii="Calibri" w:hAnsi="Calibri"/>
          <w:sz w:val="22"/>
        </w:rPr>
        <w:t>To endpoint monitoring software, the process appears as a legitimate system utility running from standard system directories. The malicious payload exists exclusively in temporary RAM and does not persist on disk, leaving minimal artifacts for post-reboot forensic recovery.</w:t>
      </w:r>
    </w:p>
    <w:p>
      <w:pPr>
        <w:keepNext/>
        <w:spacing w:before="240" w:after="60"/>
      </w:pPr>
      <w:r>
        <w:rPr>
          <w:rFonts w:ascii="Arial" w:hAnsi="Arial"/>
          <w:b/>
          <w:color w:val="771111"/>
          <w:sz w:val="22"/>
        </w:rPr>
        <w:t>4.3 Operational Relay Boxes (ORBs) and Residential Proxies</w:t>
      </w:r>
    </w:p>
    <w:p>
      <w:pPr>
        <w:spacing w:after="100" w:line="276" w:lineRule="auto"/>
      </w:pPr>
      <w:r>
        <w:rPr>
          <w:rFonts w:ascii="Calibri" w:hAnsi="Calibri"/>
          <w:sz w:val="22"/>
        </w:rPr>
        <w:t>Advanced threat actors obfuscate operational origin through multi-hop Operational Relay Box (ORB) networks. Instead of routing attacks through commercial cloud hosting providers whose IP ranges are classified as data centers, actors infiltrate unpatched edge devices, consumer IoT hardware, and residential SOHO routers.</w:t>
      </w:r>
    </w:p>
    <w:p>
      <w:pPr>
        <w:spacing w:after="100" w:line="276" w:lineRule="auto"/>
      </w:pPr>
      <w:r>
        <w:rPr>
          <w:rFonts w:ascii="Calibri" w:hAnsi="Calibri"/>
          <w:sz w:val="22"/>
        </w:rPr>
        <w:t>By tunneling administrative and reconnaissance commands through compromised residential IP connections, traffic appears to defense analysts as routine residential subscriber activity. This obfuscation hampers geo-blocking filters and complicates network attribution efforts.</w:t>
      </w:r>
    </w:p>
    <w:p>
      <w:pPr>
        <w:keepNext/>
        <w:spacing w:before="240" w:after="60"/>
      </w:pPr>
      <w:r>
        <w:rPr>
          <w:rFonts w:ascii="Arial" w:hAnsi="Arial"/>
          <w:b/>
          <w:color w:val="771111"/>
          <w:sz w:val="22"/>
        </w:rPr>
        <w:t>4.4 Anti-Forensics: Timestomping and Event Log Manipulation</w:t>
      </w:r>
    </w:p>
    <w:p>
      <w:pPr>
        <w:spacing w:after="100" w:line="276" w:lineRule="auto"/>
      </w:pPr>
      <w:r>
        <w:rPr>
          <w:rFonts w:ascii="Calibri" w:hAnsi="Calibri"/>
          <w:sz w:val="22"/>
        </w:rPr>
        <w:t>During incident response investigations, digital forensic teams establish timelines by examining file system metadata: Modified, Accessed, Created, and Entry (MACE) timestamps. Attackers employ 'timestomping' utilities to alter metadata attributes, backdating malicious files to match standard operating system installation dates.</w:t>
      </w:r>
    </w:p>
    <w:p>
      <w:pPr>
        <w:spacing w:after="100" w:line="276" w:lineRule="auto"/>
      </w:pPr>
      <w:r>
        <w:rPr>
          <w:rFonts w:ascii="Calibri" w:hAnsi="Calibri"/>
          <w:sz w:val="22"/>
        </w:rPr>
        <w:t>Furthermore, sophisticated actors avoid clearing entire event logs, as broad log deletion generates immediate security alerts. Instead, they selectively unhook logging APIs, terminate event-logging service threads, or manipulate specific event records to obscure presence while maintaining apparent system stability.</w:t>
      </w:r>
    </w:p>
    <w:p>
      <w:pPr>
        <w:keepNext/>
        <w:spacing w:before="240" w:after="60"/>
      </w:pPr>
      <w:r>
        <w:rPr>
          <w:rFonts w:ascii="Arial" w:hAnsi="Arial"/>
          <w:b/>
          <w:color w:val="771111"/>
          <w:sz w:val="22"/>
        </w:rPr>
        <w:t>4.5 Steganography and Traffic Obfuscation</w:t>
      </w:r>
    </w:p>
    <w:p>
      <w:pPr>
        <w:spacing w:after="100" w:line="276" w:lineRule="auto"/>
      </w:pPr>
      <w:r>
        <w:rPr>
          <w:rFonts w:ascii="Calibri" w:hAnsi="Calibri"/>
          <w:sz w:val="22"/>
        </w:rPr>
        <w:t>Data exfiltration across monitored networks requires bypassing deep-packet inspection (DPI) and data-loss prevention (DLP) systems. Digital steganography embeds encrypted data within routine file formats, such as audio files or high-resolution images, by altering least-significant bits in image pixels.</w:t>
      </w:r>
    </w:p>
    <w:p>
      <w:pPr>
        <w:spacing w:after="100" w:line="276" w:lineRule="auto"/>
      </w:pPr>
      <w:r>
        <w:rPr>
          <w:rFonts w:ascii="Calibri" w:hAnsi="Calibri"/>
          <w:sz w:val="22"/>
        </w:rPr>
        <w:t>To security sensors, the payload appears as a standard multimedia asset uploaded to external hosting platforms. When paired with encrypted command-and-control channels over HTTPS or DNS tunneling, data exfiltration blends into routine web traffic.</w:t>
      </w:r>
    </w:p>
    <w:p>
      <w:pPr>
        <w:keepNext/>
        <w:spacing w:before="360" w:after="120"/>
      </w:pPr>
      <w:r>
        <w:rPr>
          <w:rFonts w:ascii="Arial" w:hAnsi="Arial"/>
          <w:b/>
          <w:color w:val="003366"/>
          <w:sz w:val="28"/>
        </w:rPr>
        <w:t>SECTION V: DEFENSIVE ENGINEERING, ARCHITECTURAL RESILIENCE, AND TECHNICAL PERSPECTIVES</w:t>
      </w:r>
    </w:p>
    <w:p>
      <w:pPr>
        <w:keepNext/>
        <w:spacing w:before="240" w:after="60"/>
      </w:pPr>
      <w:r>
        <w:rPr>
          <w:rFonts w:ascii="Arial" w:hAnsi="Arial"/>
          <w:b/>
          <w:color w:val="771111"/>
          <w:sz w:val="22"/>
        </w:rPr>
        <w:t>5.1 Memory-Safe Languages: Rust and Modern Systems Engineering</w:t>
      </w:r>
    </w:p>
    <w:p>
      <w:pPr>
        <w:spacing w:after="100" w:line="276" w:lineRule="auto"/>
      </w:pPr>
      <w:r>
        <w:rPr>
          <w:rFonts w:ascii="Calibri" w:hAnsi="Calibri"/>
          <w:sz w:val="22"/>
        </w:rPr>
        <w:t>The prevalence of memory corruption vulnerabilities has driven an industry-wide transition toward memory-safe systems programming languages, primarily Rust. Rust enforces memory safety at compile time through an ownership model, strict reference borrowing rules, and compile-time lifetime checking, preventing buffer overflows, use-after-free bugs, and data races without relying on an automated garbage collector.</w:t>
      </w:r>
    </w:p>
    <w:p>
      <w:pPr>
        <w:spacing w:after="100" w:line="276" w:lineRule="auto"/>
      </w:pPr>
      <w:r>
        <w:rPr>
          <w:rFonts w:ascii="Calibri" w:hAnsi="Calibri"/>
          <w:sz w:val="22"/>
        </w:rPr>
        <w:t>Major technology enterprises and government cybersecurity agencies (such as CISA and the NSA) actively advocate integrating memory-safe languages into operating system kernels (including Linux and Windows) and critical infrastructure drivers. Eliminating memory corruption vulnerabilities at the language level neutralizes large classes of historical exploits.</w:t>
      </w:r>
    </w:p>
    <w:p>
      <w:pPr>
        <w:keepNext/>
        <w:spacing w:before="240" w:after="60"/>
      </w:pPr>
      <w:r>
        <w:rPr>
          <w:rFonts w:ascii="Arial" w:hAnsi="Arial"/>
          <w:b/>
          <w:color w:val="771111"/>
          <w:sz w:val="22"/>
        </w:rPr>
        <w:t>5.2 Zero Trust Architecture (ZTA) and Principle of Least Privilege</w:t>
      </w:r>
    </w:p>
    <w:p>
      <w:pPr>
        <w:spacing w:after="100" w:line="276" w:lineRule="auto"/>
      </w:pPr>
      <w:r>
        <w:rPr>
          <w:rFonts w:ascii="Calibri" w:hAnsi="Calibri"/>
          <w:sz w:val="22"/>
        </w:rPr>
        <w:t>Traditional cybersecurity operated on perimeter-based security: trusting entities within the internal network while verifying external traffic. Zero Trust Architecture (ZTA) assumes the internal network is already compromised. Under ZTA, every access request must be authenticated, authorized, and continuously validated against contextual parameters (device integrity, geographic location, behavioral patterns).</w:t>
      </w:r>
    </w:p>
    <w:p>
      <w:pPr>
        <w:spacing w:after="100" w:line="276" w:lineRule="auto"/>
      </w:pPr>
      <w:r>
        <w:rPr>
          <w:rFonts w:ascii="Calibri" w:hAnsi="Calibri"/>
          <w:sz w:val="22"/>
        </w:rPr>
        <w:t>The Principle of Least Privilege (PoLP) ensures accounts and processes maintain only the minimum permissions necessary to complete operational tasks. Restricting lateral movement through network micro-segmentation, mandatory access controls, and privileged access management limits the impact of credential theft.</w:t>
      </w:r>
    </w:p>
    <w:p>
      <w:pPr>
        <w:keepNext/>
        <w:spacing w:before="240" w:after="60"/>
      </w:pPr>
      <w:r>
        <w:rPr>
          <w:rFonts w:ascii="Arial" w:hAnsi="Arial"/>
          <w:b/>
          <w:color w:val="771111"/>
          <w:sz w:val="22"/>
        </w:rPr>
        <w:t>5.3 The Evolution of Technical Roles: From Syntax to Systems Architecture</w:t>
      </w:r>
    </w:p>
    <w:p>
      <w:pPr>
        <w:spacing w:after="100" w:line="276" w:lineRule="auto"/>
      </w:pPr>
      <w:r>
        <w:rPr>
          <w:rFonts w:ascii="Calibri" w:hAnsi="Calibri"/>
          <w:sz w:val="22"/>
        </w:rPr>
        <w:t>The rapid integration of automated development tools and artificial intelligence models has evolved technical roles across software and security disciplines. The manual memorization of syntactical boilerplate is increasingly automated by cognitive programming models. Consequently, the primary demand shifts toward systems architecture, threat modeling, protocol analysis, and cross-system integration.</w:t>
      </w:r>
    </w:p>
    <w:p>
      <w:pPr>
        <w:spacing w:after="100" w:line="276" w:lineRule="auto"/>
      </w:pPr>
      <w:r>
        <w:rPr>
          <w:rFonts w:ascii="Calibri" w:hAnsi="Calibri"/>
          <w:sz w:val="22"/>
        </w:rPr>
        <w:t>Technical professionals increasingly function as system designers: identifying organizational logic flaws, modeling attack surfaces, evaluating security configurations, and orchestrating automated tooling. Foundational comprehension of networking models, hardware architecture, and operating system internals remains the critical differentiator in both defensive security and software engineering.</w:t>
      </w:r>
    </w:p>
    <w:p>
      <w:pPr>
        <w:keepNext/>
        <w:spacing w:before="360" w:after="120"/>
      </w:pPr>
      <w:r>
        <w:rPr>
          <w:rFonts w:ascii="Arial" w:hAnsi="Arial"/>
          <w:b/>
          <w:color w:val="003366"/>
          <w:sz w:val="28"/>
        </w:rPr>
        <w:t>SECTION VI: AUTONOMOUS WORMS &amp; UNCONVENTIONAL TRANSMISSION VECTORS</w:t>
      </w:r>
    </w:p>
    <w:p>
      <w:pPr>
        <w:keepNext/>
        <w:spacing w:before="240" w:after="60"/>
      </w:pPr>
      <w:r>
        <w:rPr>
          <w:rFonts w:ascii="Arial" w:hAnsi="Arial"/>
          <w:b/>
          <w:color w:val="771111"/>
          <w:sz w:val="22"/>
        </w:rPr>
        <w:t>6.1 The Architecture of Autonomous Self-Replication</w:t>
      </w:r>
    </w:p>
    <w:p>
      <w:pPr>
        <w:spacing w:after="100" w:line="276" w:lineRule="auto"/>
      </w:pPr>
      <w:r>
        <w:rPr>
          <w:rFonts w:ascii="Calibri" w:hAnsi="Calibri"/>
          <w:sz w:val="22"/>
        </w:rPr>
        <w:t>Unlike traditional computer viruses that require user execution or trojans that rely on social deception, a computer worm operates as an autonomous digital organism. A worm executes a continuous, self-sustaining four-stage operational loop: Target Scanning, Remote Exploitation, Self-Copy / Payload Transfer, and Autonomous Execution. In target scanning, the worm inspects its local subnet (scanning adjacent IPs within the same subnet mask) or generates pseudo-random public IP addresses, probing specific listening ports known to host unauthenticated vulnerabilities (such as port 445 SMB in the case of WannaCry and EternalBlue).</w:t>
      </w:r>
    </w:p>
    <w:p>
      <w:pPr>
        <w:spacing w:after="100" w:line="276" w:lineRule="auto"/>
      </w:pPr>
      <w:r>
        <w:rPr>
          <w:rFonts w:ascii="Calibri" w:hAnsi="Calibri"/>
          <w:sz w:val="22"/>
        </w:rPr>
        <w:t>Once a target responds, the worm deploys an unauthenticated remote exploit that compromises memory, injecting a bootstrap stager. In self-contained micro-worms (such as the 376-byte SQL Slammer worm in 2003), the entire malicious payload resides within a single UDP attack packet, executing immediately from volatile memory without touching disk. In multi-stage worms, the stager opens a connection back to the attacking machine or an internal share, transferring an exact binary clone of the worm executable, which is written to a temporary system directory and registered as a background service or scheduled task to restart the replication cycle.</w:t>
      </w:r>
    </w:p>
    <w:p>
      <w:pPr>
        <w:spacing w:after="100" w:line="276" w:lineRule="auto"/>
      </w:pPr>
      <w:r>
        <w:rPr>
          <w:rFonts w:ascii="Calibri" w:hAnsi="Calibri"/>
          <w:sz w:val="22"/>
        </w:rPr>
        <w:t>To evade hash-based antivirus detection, advanced worms incorporate mutation engines. Polymorphic worms utilize internal cryptographic routines to encrypt their core binary with a unique, randomly generated key upon every replication jump, unrolling the payload in memory via a tiny variable decryption stub. Metamorphic worms take evasion further by decompiling and mathematically restructuring their own assembly instructions prior to transmission—swapping processor registers, inserting variable NOP sequences, and reordering functions—ensuring that every replicated instance is structurally unique at the binary level while maintaining identical functional logic.</w:t>
      </w:r>
    </w:p>
    <w:p>
      <w:pPr>
        <w:keepNext/>
        <w:spacing w:before="240" w:after="60"/>
      </w:pPr>
      <w:r>
        <w:rPr>
          <w:rFonts w:ascii="Arial" w:hAnsi="Arial"/>
          <w:b/>
          <w:color w:val="771111"/>
          <w:sz w:val="22"/>
        </w:rPr>
        <w:t>6.2 Mobile Platform Worms: Bluetooth, MMS, and Push Notifications</w:t>
      </w:r>
    </w:p>
    <w:p>
      <w:pPr>
        <w:spacing w:after="100" w:line="276" w:lineRule="auto"/>
      </w:pPr>
      <w:r>
        <w:rPr>
          <w:rFonts w:ascii="Calibri" w:hAnsi="Calibri"/>
          <w:sz w:val="22"/>
        </w:rPr>
        <w:t>While modern mobile operating systems (iOS and Android) feature strict application sandboxing, mobile devices possess extensive wireless attack vectors—Bluetooth, Wi-Fi Direct, SMS/MMS, and notification listeners. The historical evolution of mobile worms began in 2004 with 'Cabir,' a proof-of-concept worm targeting Nokia's Symbian OS. Cabir utilized Bluetooth discovery, continuously scanning the airwaves for nearby discoverable phones within a 30-foot radius and transmitting an installable package (caribe.sis), famously spreading across crowds at the 2005 World Athletics Championships in Helsinki.</w:t>
      </w:r>
    </w:p>
    <w:p>
      <w:pPr>
        <w:spacing w:after="100" w:line="276" w:lineRule="auto"/>
      </w:pPr>
      <w:r>
        <w:rPr>
          <w:rFonts w:ascii="Calibri" w:hAnsi="Calibri"/>
          <w:sz w:val="22"/>
        </w:rPr>
        <w:t>In 2005, 'Commwarrior' pioneered autonomous cellular propagation by accessing device address books and transmitting copies of itself via MMS picture messages to every registered contact, generating massive financial charges and infecting over 100,000 devices. In 2009, the 'Ikee' worm targeted early jailbroken iPhones that had installed OpenSSH with default root credentials ('alpine'), scanning mobile IP ranges and changing lock screens to images of Rick Astley before being weaponized into banking credential stealers. In modern environments, malware like 'FlixOnline' (2021) achieved worm-like propagation by intercepting incoming WhatsApp notifications and automatically dispatching deceptive auto-replies containing download links to incoming message threads.</w:t>
      </w:r>
    </w:p>
    <w:p>
      <w:pPr>
        <w:spacing w:after="100" w:line="276" w:lineRule="auto"/>
      </w:pPr>
      <w:r>
        <w:rPr>
          <w:rFonts w:ascii="Calibri" w:hAnsi="Calibri"/>
          <w:sz w:val="22"/>
        </w:rPr>
        <w:t>Massive global mobile worm propagation is largely constrained today by modern architectural mitigations: application sandboxing that isolates process memory, the absence of open listening inbound ports on cellular networks due to Carrier-Grade NAT, and mandatory OS-level permission dialogs. However, theoretical nation-state threats remain: a self-replicating worm engineered around a zero-click remote code execution flaw in messaging daemons (such as iMessage or WhatsApp CoreText parsers) could autonomously traverse contact lists and compromise millions of mobile devices globally before defensive patches can be deployed.</w:t>
      </w:r>
    </w:p>
    <w:p>
      <w:pPr>
        <w:keepNext/>
        <w:spacing w:before="240" w:after="60"/>
      </w:pPr>
      <w:r>
        <w:rPr>
          <w:rFonts w:ascii="Arial" w:hAnsi="Arial"/>
          <w:b/>
          <w:color w:val="771111"/>
          <w:sz w:val="22"/>
        </w:rPr>
        <w:t>6.3 Orbital and Radio-Frequency (RF) Worm Architectures</w:t>
      </w:r>
    </w:p>
    <w:p>
      <w:pPr>
        <w:spacing w:after="100" w:line="276" w:lineRule="auto"/>
      </w:pPr>
      <w:r>
        <w:rPr>
          <w:rFonts w:ascii="Calibri" w:hAnsi="Calibri"/>
          <w:sz w:val="22"/>
        </w:rPr>
        <w:t>Modern satellite constellations in Low Earth Orbit (LEO)—such as SpaceX Starlink, OneWeb, and military proliferated constellations—function as orbital mesh networks utilizing Optical Inter-Satellite Links (ISLs). Modern satellites are spaceborne Linux and Real-Time Operating System (RTOS) compute nodes communicating across high-speed infrared laser crosslinks. In a theoretical spaceborne worm scenario, an exploit introduced via an infected ground-station telemetry uplink (over Ku-band or Ka-band frequencies) compromises an orbital node's flight computer; the worm could subsequently traverse inter-satellite laser links, replicating from satellite to satellite across the orbital plane without touching terrestrial internet infrastructure.</w:t>
      </w:r>
    </w:p>
    <w:p>
      <w:pPr>
        <w:spacing w:after="100" w:line="276" w:lineRule="auto"/>
      </w:pPr>
      <w:r>
        <w:rPr>
          <w:rFonts w:ascii="Calibri" w:hAnsi="Calibri"/>
          <w:sz w:val="22"/>
        </w:rPr>
        <w:t>The physical reality of satellite cyber warfare was demonstrated on February 24, 2022, during the opening hours of the Russian invasion of Ukraine. Russian GRU cyber operators compromised the management network of American satellite provider Viasat, broadcasting the 'AcidRain' wiper directly through satellite ground uplinks. The wiper flashed down into tens of thousands of KA-SAT satellite modems across Europe and Ukraine, permanently overwriting flash memory and severing Ukrainian military field communications while inadvertently disabling 5,800 wind turbines in Germany.</w:t>
      </w:r>
    </w:p>
    <w:p>
      <w:pPr>
        <w:spacing w:after="100" w:line="276" w:lineRule="auto"/>
      </w:pPr>
      <w:r>
        <w:rPr>
          <w:rFonts w:ascii="Calibri" w:hAnsi="Calibri"/>
          <w:sz w:val="22"/>
        </w:rPr>
        <w:t>Over-the-air RF propagation has also been demonstrated in terrestrial environments. In 2016, researchers at the Weizmann Institute demonstrated an autonomous radio-frequency worm targeting the Zigbee wireless mesh protocol (2.4 GHz) utilized by Philips Hue smart lighting systems. Exploiting a buffer overflow in the wireless bootloader update mechanism, researchers deployed an autonomous worm via a consumer drone flying 1,000 feet away from an office building. The worm transmitted over the air, compromised a single smart lightbulb through the window, and autonomously jumped bulb-to-bulb across the building's physical mesh, taking over the lighting grid without an internet connection.</w:t>
      </w:r>
    </w:p>
    <w:p>
      <w:pPr>
        <w:keepNext/>
        <w:spacing w:before="240" w:after="60"/>
      </w:pPr>
      <w:r>
        <w:rPr>
          <w:rFonts w:ascii="Arial" w:hAnsi="Arial"/>
          <w:b/>
          <w:color w:val="771111"/>
          <w:sz w:val="22"/>
        </w:rPr>
        <w:t>6.4 Clandestine P2P Mesh Networks for Intelligence Operatives</w:t>
      </w:r>
    </w:p>
    <w:p>
      <w:pPr>
        <w:spacing w:after="100" w:line="276" w:lineRule="auto"/>
      </w:pPr>
      <w:r>
        <w:rPr>
          <w:rFonts w:ascii="Calibri" w:hAnsi="Calibri"/>
          <w:sz w:val="22"/>
        </w:rPr>
        <w:t>In hostile foreign capitals subject to pervasive state electronic surveillance (such as Moscow or Beijing), clandestine intelligence operatives face severe communication security risks. Direct network connections from an operative's workstation or mobile device to overseas intelligence servers (e.g., CIA headquarters in Langley) trigger immediate detection at state-monitored international internet gateways. To solve this, advanced offensive tradecraft utilizes ephemeral, decentralized Peer-to-Peer (P2P) mesh worms deployed across domestic commercial, academic, and corporate workstations within the hostile capital.</w:t>
      </w:r>
    </w:p>
    <w:p>
      <w:pPr>
        <w:spacing w:after="100" w:line="276" w:lineRule="auto"/>
      </w:pPr>
      <w:r>
        <w:rPr>
          <w:rFonts w:ascii="Calibri" w:hAnsi="Calibri"/>
          <w:sz w:val="22"/>
        </w:rPr>
        <w:t>In this architecture, compromised domestic machines communicate strictly with adjacent local nodes using legitimate local protocols—mDNS, UPnP, and Wi-Fi Direct—forming an internal, self-healing mesh. When an undercover operative walks down a city street, their mobile device executes a split-second, encrypted proximity handshake (under 500 milliseconds) with a compromised node inside an adjacent office building, dropping a small encrypted intelligence report and collecting inbound tasking orders without stopping or accessing the internet.</w:t>
      </w:r>
    </w:p>
    <w:p>
      <w:pPr>
        <w:spacing w:after="100" w:line="276" w:lineRule="auto"/>
      </w:pPr>
      <w:r>
        <w:rPr>
          <w:rFonts w:ascii="Calibri" w:hAnsi="Calibri"/>
          <w:sz w:val="22"/>
        </w:rPr>
        <w:t>The internal mesh network subsequently fragments the encrypted intelligence file into microscopic data packets, routing them through multi-hop onion-style internal relays. Each fragment is quietly exfiltrated out of the country through separate domestic nodes disguised as routine DNS queries, HTTPS session cookies, or image metadata uploads. Because no single computer transmits significant data abroad and local traffic appears as routine domestic communications, state counterintelligence monitoring international gateway links remains completely blind to the covert operational channel.</w:t>
      </w:r>
    </w:p>
    <w:p>
      <w:pPr>
        <w:keepNext/>
        <w:spacing w:before="360" w:after="120"/>
      </w:pPr>
      <w:r>
        <w:rPr>
          <w:rFonts w:ascii="Arial" w:hAnsi="Arial"/>
          <w:b/>
          <w:color w:val="003366"/>
          <w:sz w:val="28"/>
        </w:rPr>
        <w:t>SECTION VII: AI INFRASTRUCTURE VULNERABILITIES &amp; COGNITIVE THREAT SURFACES</w:t>
      </w:r>
    </w:p>
    <w:p>
      <w:pPr>
        <w:keepNext/>
        <w:spacing w:before="240" w:after="60"/>
      </w:pPr>
      <w:r>
        <w:rPr>
          <w:rFonts w:ascii="Arial" w:hAnsi="Arial"/>
          <w:b/>
          <w:color w:val="771111"/>
          <w:sz w:val="22"/>
        </w:rPr>
        <w:t>7.1 Algorithmic Homogeneity &amp; Code Monoculture Vulnerabilities</w:t>
      </w:r>
    </w:p>
    <w:p>
      <w:pPr>
        <w:spacing w:after="100" w:line="276" w:lineRule="auto"/>
      </w:pPr>
      <w:r>
        <w:rPr>
          <w:rFonts w:ascii="Calibri" w:hAnsi="Calibri"/>
          <w:sz w:val="22"/>
        </w:rPr>
        <w:t>The rapid, widespread adoption of large language models (such as ChatGPT, Claude, and GitHub Copilot) for automated software development introduces systemic structural vulnerabilities. Machine learning models generate code based on statistical training weights, producing highly predictable syntactical conventions. AI-generated software frequently displays standardized variable naming schemes (`userData`, `fetchData`, `handleSubmit`, `tokenPayload`) and identical project directory boilerplate (`/utils/helpers.js`, `/components/Navbar.tsx`).</w:t>
      </w:r>
    </w:p>
    <w:p>
      <w:pPr>
        <w:spacing w:after="100" w:line="276" w:lineRule="auto"/>
      </w:pPr>
      <w:r>
        <w:rPr>
          <w:rFonts w:ascii="Calibri" w:hAnsi="Calibri"/>
          <w:sz w:val="22"/>
        </w:rPr>
        <w:t>Attackers utilize automated reconnaissance tools to scan public web repositories and applications for these statistical signatures, identifying codebases produced by non-technical founders utilizing automated scaffolding. Crucially, if a foundation model incorporates a subtle vulnerability—such as an unvalidated parameter in an authentication middleware or an insecure default configuration in a database connection string—that exact vulnerability is reproduced across hundreds of thousands of independently deployed applications globally, creating an industrial-scale monoculture attack surface.</w:t>
      </w:r>
    </w:p>
    <w:p>
      <w:pPr>
        <w:keepNext/>
        <w:spacing w:before="240" w:after="60"/>
      </w:pPr>
      <w:r>
        <w:rPr>
          <w:rFonts w:ascii="Arial" w:hAnsi="Arial"/>
          <w:b/>
          <w:color w:val="771111"/>
          <w:sz w:val="22"/>
        </w:rPr>
        <w:t>7.2 Package Hallucination Exploits &amp; Dependency Slurping</w:t>
      </w:r>
    </w:p>
    <w:p>
      <w:pPr>
        <w:spacing w:after="100" w:line="276" w:lineRule="auto"/>
      </w:pPr>
      <w:r>
        <w:rPr>
          <w:rFonts w:ascii="Calibri" w:hAnsi="Calibri"/>
          <w:sz w:val="22"/>
        </w:rPr>
        <w:t>A critical attack vector targeting AI-assisted software engineering is 'Package Hallucination' (Dependency Slurping). During code generation, large language models frequently hallucinate non-existent external library names that sound contextually plausible (e.g., `import secure_token_parser_v2`). Developers routinely copy and execute package manager installation commands (`npm install`, `pip install`) directly into terminal environments without auditing package authenticity.</w:t>
      </w:r>
    </w:p>
    <w:p>
      <w:pPr>
        <w:spacing w:after="100" w:line="276" w:lineRule="auto"/>
      </w:pPr>
      <w:r>
        <w:rPr>
          <w:rFonts w:ascii="Calibri" w:hAnsi="Calibri"/>
          <w:sz w:val="22"/>
        </w:rPr>
        <w:t>Adversaries analyze common hallucinated package names generated by popular models, register those exact package identifiers on public package repositories (such as npm and PyPI), and publish libraries containing embedded remote access trojans or credential stealers. Unwitting developers install the malicious packages directly into enterprise build pipelines, establishing persistent backdoors within corporate applications during development.</w:t>
      </w:r>
    </w:p>
    <w:p>
      <w:pPr>
        <w:keepNext/>
        <w:spacing w:before="240" w:after="60"/>
      </w:pPr>
      <w:r>
        <w:rPr>
          <w:rFonts w:ascii="Arial" w:hAnsi="Arial"/>
          <w:b/>
          <w:color w:val="771111"/>
          <w:sz w:val="22"/>
        </w:rPr>
        <w:t>7.3 Autonomous AI Agent Security: TOCTOU File-Overwrite Race Conditions</w:t>
      </w:r>
    </w:p>
    <w:p>
      <w:pPr>
        <w:spacing w:after="100" w:line="276" w:lineRule="auto"/>
      </w:pPr>
      <w:r>
        <w:rPr>
          <w:rFonts w:ascii="Calibri" w:hAnsi="Calibri"/>
          <w:sz w:val="22"/>
        </w:rPr>
        <w:t>The emergence of autonomous AI agents granted local terminal and filesystem execution permissions creates novel privilege escalation surfaces. Autonomous agents routinely write temporary script files to predictable paths (such as `/tmp/build_script.sh` or `./scripts/deploy.py`) before executing them via system calls. This workflow introduces severe Time-of-Check to Time-of-Use (TOCTOU) race condition vulnerabilities.</w:t>
      </w:r>
    </w:p>
    <w:p>
      <w:pPr>
        <w:spacing w:after="100" w:line="276" w:lineRule="auto"/>
      </w:pPr>
      <w:r>
        <w:rPr>
          <w:rFonts w:ascii="Calibri" w:hAnsi="Calibri"/>
          <w:sz w:val="22"/>
        </w:rPr>
        <w:t>A low-privileged background script running on the host machine can leverage operating system filesystem notification APIs (`inotify` on Linux, `ReadDirectoryChangesW` on Windows) to detect file creation in real time. The moment the AI agent writes the temporary build script, the monitoring process swaps the contents with an administrative command payload milliseconds before the agent executes the file. Because the agent frequently operates with elevated permissions (such as administrative tokens or cloud API keys), the injected payload executes under elevated system privileges, completely compromising the host environment.</w:t>
      </w:r>
    </w:p>
    <w:p>
      <w:pPr>
        <w:keepNext/>
        <w:spacing w:before="360" w:after="120"/>
      </w:pPr>
      <w:r>
        <w:rPr>
          <w:rFonts w:ascii="Arial" w:hAnsi="Arial"/>
          <w:b/>
          <w:color w:val="003366"/>
          <w:sz w:val="28"/>
        </w:rPr>
        <w:t>SECTION VIII: ACOUSTIC AIR-GAP EXPLOITATION &amp; IN-MEMORY AUDIO RECONSTRUCTION</w:t>
      </w:r>
    </w:p>
    <w:p>
      <w:pPr>
        <w:keepNext/>
        <w:spacing w:before="240" w:after="60"/>
      </w:pPr>
      <w:r>
        <w:rPr>
          <w:rFonts w:ascii="Arial" w:hAnsi="Arial"/>
          <w:b/>
          <w:color w:val="771111"/>
          <w:sz w:val="22"/>
        </w:rPr>
        <w:t>8.1 The Physics of Acoustic Signals: Human Limits vs. Silicon Microphones</w:t>
      </w:r>
    </w:p>
    <w:p>
      <w:pPr>
        <w:spacing w:after="100" w:line="276" w:lineRule="auto"/>
      </w:pPr>
      <w:r>
        <w:rPr>
          <w:rFonts w:ascii="Calibri" w:hAnsi="Calibri"/>
          <w:sz w:val="22"/>
        </w:rPr>
        <w:t>Acoustic air-gap exploitation leverages the physical discrepancy between human auditory biology and silicon hardware capabilities. The adult human auditory system possesses an upper hearing threshold of approximately 16 kHz to 18 kHz. Conversely, the micro-electro-mechanical systems (MEMS) silicon microphones integrated into modern laptops, smartphones, and smart speakers are physically capable of capturing sound waves at ultrasonic frequencies exceeding 24 kHz to 30 kHz.</w:t>
      </w:r>
    </w:p>
    <w:p>
      <w:pPr>
        <w:spacing w:after="100" w:line="276" w:lineRule="auto"/>
      </w:pPr>
      <w:r>
        <w:rPr>
          <w:rFonts w:ascii="Calibri" w:hAnsi="Calibri"/>
          <w:sz w:val="22"/>
        </w:rPr>
        <w:t>Standard audio sampling rates (44.1 kHz and 48 kHz) adhere to the Nyquist-Shannon sampling theorem, mathematically capturing and digitizing audio signals up to 22.05 kHz and 24 kHz respectively. This creates an inaudible acoustic band (18 kHz to 24 kHz) wherein high-frequency ultrasonic signals can be broadcast through standard commercial speakers and recorded by standard microphones while remaining completely silent to human personnel within the room.</w:t>
      </w:r>
    </w:p>
    <w:p>
      <w:pPr>
        <w:keepNext/>
        <w:spacing w:before="240" w:after="60"/>
      </w:pPr>
      <w:r>
        <w:rPr>
          <w:rFonts w:ascii="Arial" w:hAnsi="Arial"/>
          <w:b/>
          <w:color w:val="771111"/>
          <w:sz w:val="22"/>
        </w:rPr>
        <w:t>8.2 Inaudible Ultrasonic Command Injection: DolphinAttack and Non-Linearity</w:t>
      </w:r>
    </w:p>
    <w:p>
      <w:pPr>
        <w:spacing w:after="100" w:line="276" w:lineRule="auto"/>
      </w:pPr>
      <w:r>
        <w:rPr>
          <w:rFonts w:ascii="Calibri" w:hAnsi="Calibri"/>
          <w:sz w:val="22"/>
        </w:rPr>
        <w:t>In 2017, researchers at Zhejiang University published the landmark 'DolphinAttack,' demonstrating that voice-controllable systems (Apple Siri, Google Assistant, Amazon Alexa) can be manipulated using inaudible ultrasonic audio. The attack exploits a physical hardware characteristic of MEMS microphones known as 'acoustic non-linearity.'</w:t>
      </w:r>
    </w:p>
    <w:p>
      <w:pPr>
        <w:spacing w:after="100" w:line="276" w:lineRule="auto"/>
      </w:pPr>
      <w:r>
        <w:rPr>
          <w:rFonts w:ascii="Calibri" w:hAnsi="Calibri"/>
          <w:sz w:val="22"/>
        </w:rPr>
        <w:t>When high-frequency ultrasound waves (e.g., 20 kHz to 30 kHz) impact the silicon diaphragm of a microphone, physical non-linearities in the transducer electronics demodulate the carrier wave down into the audible baseband frequency range. An attacker modulates human voice commands onto an ultrasonic carrier signal; while human ears detect silence, the physical microphone diaphragm down-converts the signal into clear electrical voltages that voice-recognition algorithms interpret as legitimate spoken commands, allowing attackers to secretly dial numbers, browse malicious websites, or unlock physical smart doors.</w:t>
      </w:r>
    </w:p>
    <w:p>
      <w:pPr>
        <w:keepNext/>
        <w:spacing w:before="240" w:after="60"/>
      </w:pPr>
      <w:r>
        <w:rPr>
          <w:rFonts w:ascii="Arial" w:hAnsi="Arial"/>
          <w:b/>
          <w:color w:val="771111"/>
          <w:sz w:val="22"/>
        </w:rPr>
        <w:t>8.3 Adversarial Audio Perturbations: CommanderSong</w:t>
      </w:r>
    </w:p>
    <w:p>
      <w:pPr>
        <w:spacing w:after="100" w:line="276" w:lineRule="auto"/>
      </w:pPr>
      <w:r>
        <w:rPr>
          <w:rFonts w:ascii="Calibri" w:hAnsi="Calibri"/>
          <w:sz w:val="22"/>
        </w:rPr>
        <w:t>Beyond ultrasound, researchers developed 'CommanderSong,' demonstrating that executable voice commands can be concealed directly inside everyday commercial music and broadcast speech through adversarial mathematical perturbations. By introducing microscopic, mathematically optimized alterations to the audio waveform, the acoustic energy of the hidden command is dispersed across the broader frequency spectrum.</w:t>
      </w:r>
    </w:p>
    <w:p>
      <w:pPr>
        <w:spacing w:after="100" w:line="276" w:lineRule="auto"/>
      </w:pPr>
      <w:r>
        <w:rPr>
          <w:rFonts w:ascii="Calibri" w:hAnsi="Calibri"/>
          <w:sz w:val="22"/>
        </w:rPr>
        <w:t>To the human listener, the audio sounds like an ordinary song playing on the radio with minor background static. However, when the audio is processed by speech-to-text deep neural networks (such as Kaldi or DeepSpeech), the mathematical algorithm reconstructs the adversarial perturbation into an actionable command (e.g., 'download payload from address'). The attack illustrates that machine learning audio parsers process acoustic signals through mathematical matrices fundamentally different from human biological cognition.</w:t>
      </w:r>
    </w:p>
    <w:p>
      <w:pPr>
        <w:keepNext/>
        <w:spacing w:before="240" w:after="60"/>
      </w:pPr>
      <w:r>
        <w:rPr>
          <w:rFonts w:ascii="Arial" w:hAnsi="Arial"/>
          <w:b/>
          <w:color w:val="771111"/>
          <w:sz w:val="22"/>
        </w:rPr>
        <w:t>8.4 Wavelength Transcripts and Spectrogram Analysis: The Mathematical Signal Pipeline</w:t>
      </w:r>
    </w:p>
    <w:p>
      <w:pPr>
        <w:spacing w:after="100" w:line="276" w:lineRule="auto"/>
      </w:pPr>
      <w:r>
        <w:rPr>
          <w:rFonts w:ascii="Calibri" w:hAnsi="Calibri"/>
          <w:sz w:val="22"/>
        </w:rPr>
        <w:t>Computers process sound through an exact mathematical conversion pipeline. As sound pressure waves vibrate the microphone diaphragm, an Analog-to-Digital Converter (ADC) samples electrical voltage fluctuations at 44,100 or 48,000 intervals per second, generating a continuous Pulse Code Modulation (PCM) stream of discrete numerical values representing wave amplitude over time.</w:t>
      </w:r>
    </w:p>
    <w:p>
      <w:pPr>
        <w:spacing w:after="100" w:line="276" w:lineRule="auto"/>
      </w:pPr>
      <w:r>
        <w:rPr>
          <w:rFonts w:ascii="Calibri" w:hAnsi="Calibri"/>
          <w:sz w:val="22"/>
        </w:rPr>
        <w:t>To interpret frequency data, software executes a Fast Fourier Transform (FFT), converting time-domain PCM samples into a mathematical frequency matrix known as a Spectrogram (or Mel-Frequency Cepstral Coefficients / MFCC). A spectrogram functions as a visual and mathematical representation of sound, mapping time on the horizontal axis, frequency/wavelength on the vertical axis, and spectral density as amplitude intensity. Automated voice-recognition models evaluate these spectrogram matrices as image-like inputs. Under standard operating system operation, audio PCM buffers cycle continuously through volatile memory, overwritten every few milliseconds unless an active recording thread or native speech engine (such as Windows Live Captions) commits the data to disk.</w:t>
      </w:r>
    </w:p>
    <w:p>
      <w:pPr>
        <w:keepNext/>
        <w:spacing w:before="240" w:after="60"/>
      </w:pPr>
      <w:r>
        <w:rPr>
          <w:rFonts w:ascii="Arial" w:hAnsi="Arial"/>
          <w:b/>
          <w:color w:val="771111"/>
          <w:sz w:val="22"/>
        </w:rPr>
        <w:t>8.5 The Acoustic In-Memory Bootstrapper: Zero-Disk Air-Gap Payload Assembly</w:t>
      </w:r>
    </w:p>
    <w:p>
      <w:pPr>
        <w:spacing w:after="100" w:line="276" w:lineRule="auto"/>
      </w:pPr>
      <w:r>
        <w:rPr>
          <w:rFonts w:ascii="Calibri" w:hAnsi="Calibri"/>
          <w:sz w:val="22"/>
        </w:rPr>
        <w:t>Combining acoustic modulation, native OS APIs, and fileless execution enables the deployment of an 'Acoustic In-Memory Bootstrapper'—a method for delivering full executable payloads across air-gapped systems without network connectivity or disk footprint. The attack begins with a tiny, lightweight listener script running purely in volatile RAM, leveraging native Windows Audio Session API (WASAPI) interfaces (`IAudioCaptureClient`) to quietly mirror the raw microphone PCM audio buffer without installing third-party audio drivers.</w:t>
      </w:r>
    </w:p>
    <w:p>
      <w:pPr>
        <w:spacing w:after="100" w:line="276" w:lineRule="auto"/>
      </w:pPr>
      <w:r>
        <w:rPr>
          <w:rFonts w:ascii="Calibri" w:hAnsi="Calibri"/>
          <w:sz w:val="22"/>
        </w:rPr>
        <w:t>An external speaker (or nearby compromised device) broadcasts the payload through the air using Frequency Shift Keying (FSK) modulation at ultrasonic frequencies (19 kHz to 21 kHz), with discrete frequency shifts representing binary zeroes and ones. The in-memory listener captures the raw audio buffer, applies an optimized Goertzel algorithm to detect frequency shifts, and translates the acoustic tones directly into binary bytes.</w:t>
      </w:r>
    </w:p>
    <w:p>
      <w:pPr>
        <w:spacing w:after="100" w:line="276" w:lineRule="auto"/>
      </w:pPr>
      <w:r>
        <w:rPr>
          <w:rFonts w:ascii="Calibri" w:hAnsi="Calibri"/>
          <w:sz w:val="22"/>
        </w:rPr>
        <w:t>As bytes arrive through the airwaves, the listener writes them directly into an allocated heap buffer (`VirtualAlloc`), assembling the entire Portable Executable (PE) binary in memory starting with the standard `0x4D 0x5A` ('MZ') Windows executable header. Once transmission concludes, the listener alters memory permissions via `VirtualProtect` to `PAGE_EXECUTE_READWRITE` and spawns a thread (`CreateRemoteThread` or process injection) to execute the newly assembled worm. The entire transmission occurs through acoustic waves, writes zero bytes to physical storage, bypasses perimeter network firewalls, and leaves no static forensic trace on the system upon power-down.</w:t>
      </w:r>
    </w:p>
    <w:p>
      <w:pPr>
        <w:keepNext/>
        <w:spacing w:before="360" w:after="120"/>
      </w:pPr>
      <w:r>
        <w:rPr>
          <w:rFonts w:ascii="Arial" w:hAnsi="Arial"/>
          <w:b/>
          <w:color w:val="003366"/>
          <w:sz w:val="28"/>
        </w:rPr>
        <w:t>SECTION IX: THE VAULT 7 DISCLOSURES &amp; COVERT WEAPON REPOSITORIES</w:t>
      </w:r>
    </w:p>
    <w:p>
      <w:pPr>
        <w:keepNext/>
        <w:spacing w:before="240" w:after="60"/>
      </w:pPr>
      <w:r>
        <w:rPr>
          <w:rFonts w:ascii="Arial" w:hAnsi="Arial"/>
          <w:b/>
          <w:color w:val="771111"/>
          <w:sz w:val="22"/>
        </w:rPr>
        <w:t>9.1 The Breach of the Century: Joshua Schulte and the CIA Center for Cyber Intelligence</w:t>
      </w:r>
    </w:p>
    <w:p>
      <w:pPr>
        <w:spacing w:after="100" w:line="276" w:lineRule="auto"/>
      </w:pPr>
      <w:r>
        <w:rPr>
          <w:rFonts w:ascii="Calibri" w:hAnsi="Calibri"/>
          <w:sz w:val="22"/>
        </w:rPr>
        <w:t>In March 2017, transparency organization WikiLeaks commenced the publication of 'Vault 7,' an archive comprising 8,761 classified operational files and software development documentation stolen directly from the Central Intelligence Agency's Center for Cyber Intelligence (CCI) in Langley, Virginia. The leak constituted the most comprehensive compromise of sovereign offensive cyber tooling in American intelligence history. Unlike the 2013 Edward Snowden disclosures, which primarily exposed National Security Agency bulk electronic surveillance programs, Vault 7 exposed the tactical exploitation weapons, zero-day implants, and operational frameworks deployed by CIA operators to penetrate consumer electronics, telecommunications, and foreign secure networks.</w:t>
      </w:r>
    </w:p>
    <w:p>
      <w:pPr>
        <w:spacing w:after="100" w:line="276" w:lineRule="auto"/>
      </w:pPr>
      <w:r>
        <w:rPr>
          <w:rFonts w:ascii="Calibri" w:hAnsi="Calibri"/>
          <w:sz w:val="22"/>
        </w:rPr>
        <w:t>The security failure originated not from a foreign state-sponsored intrusion, but from an internal insider threat within the CIA's Engineering Development Group (EDG). A software developer, Joshua Adam Schulte, utilized administrative system privileges to exfiltrate the agency's primary operational repository ('Confluence') following internal administrative disputes, subsequently attempting to wipe internal forensic audit logs. In February 2024, Schulte was sentenced to 40 years in federal prison under the Espionage Act. The compromise compelled the CIA to abandon numerous active operational frameworks, initiate emergency vulnerability disclosures to global consumer technology manufacturers, and restructure internal compartmentalization protocols.</w:t>
      </w:r>
    </w:p>
    <w:p>
      <w:pPr>
        <w:keepNext/>
        <w:spacing w:before="240" w:after="60"/>
      </w:pPr>
      <w:r>
        <w:rPr>
          <w:rFonts w:ascii="Arial" w:hAnsi="Arial"/>
          <w:b/>
          <w:color w:val="771111"/>
          <w:sz w:val="22"/>
        </w:rPr>
        <w:t>9.2 Smart Surveillance &amp; Ambient Audio: Weeping Angel and the 'Fake-Off' State</w:t>
      </w:r>
    </w:p>
    <w:p>
      <w:pPr>
        <w:spacing w:after="100" w:line="276" w:lineRule="auto"/>
      </w:pPr>
      <w:r>
        <w:rPr>
          <w:rFonts w:ascii="Calibri" w:hAnsi="Calibri"/>
          <w:sz w:val="22"/>
        </w:rPr>
        <w:t>Among the prominent capabilities revealed in Vault 7 was 'Weeping Angel,' an implant developed jointly by the CIA's Embedded Devices Branch (EDB) and the United Kingdom's MI6 targeting consumer smart televisions, specifically Samsung F-Series displays. The tool demonstrated the intelligence conversion of domestic smart appliances into covert ambient listening posts.</w:t>
      </w:r>
    </w:p>
    <w:p>
      <w:pPr>
        <w:spacing w:after="100" w:line="276" w:lineRule="auto"/>
      </w:pPr>
      <w:r>
        <w:rPr>
          <w:rFonts w:ascii="Calibri" w:hAnsi="Calibri"/>
          <w:sz w:val="22"/>
        </w:rPr>
        <w:t>The primary capability of Weeping Angel was its 'Fake-Off' operational state. When an occupant pressed the physical power button on the television's remote control, the software suppressed the display screen, disabled the blue front-panel power LED, and placed the device into a simulated shutdown mode. In reality, the television's internal microprocessor remained fully powered, maintaining the internal microphone in an active capture state. The software recorded ambient room audio, cached the recordings in internal flash storage, and transmitted exfiltrated audio over local Wi-Fi networks once the display was returned to active operational mode.</w:t>
      </w:r>
    </w:p>
    <w:p>
      <w:pPr>
        <w:keepNext/>
        <w:spacing w:before="240" w:after="60"/>
      </w:pPr>
      <w:r>
        <w:rPr>
          <w:rFonts w:ascii="Arial" w:hAnsi="Arial"/>
          <w:b/>
          <w:color w:val="771111"/>
          <w:sz w:val="22"/>
        </w:rPr>
        <w:t>9.3 Cryptographic Subversion at the Endpoint: Bypassing Consumer End-to-End Encryption</w:t>
      </w:r>
    </w:p>
    <w:p>
      <w:pPr>
        <w:spacing w:after="100" w:line="276" w:lineRule="auto"/>
      </w:pPr>
      <w:r>
        <w:rPr>
          <w:rFonts w:ascii="Calibri" w:hAnsi="Calibri"/>
          <w:sz w:val="22"/>
        </w:rPr>
        <w:t>The proliferation of consumer messaging applications utilizing strong end-to-end encryption protocols—principally Signal, WhatsApp, and Telegram—presented theoretical barriers to transit-level signals intelligence. Vault 7 documented how the CIA systematically bypassed mathematical cryptography not by attempting to break algorithmic ciphers, but by compromising the operating system endpoint prior to encryption.</w:t>
      </w:r>
    </w:p>
    <w:p>
      <w:pPr>
        <w:spacing w:after="100" w:line="276" w:lineRule="auto"/>
      </w:pPr>
      <w:r>
        <w:rPr>
          <w:rFonts w:ascii="Calibri" w:hAnsi="Calibri"/>
          <w:sz w:val="22"/>
        </w:rPr>
        <w:t>Utilizing zero-day privilege escalation exploits targeting the Android and iOS kernels, CIA implants achieved root-level permissions on target smartphones. Operating underneath the application layer, implants captured keystrokes via direct input-method hooks, recorded raw audio streams directly from the device microphone before compression, and acquired background screen captures of active chat windows. By extracting intelligence at the physical human-machine interface, the agency accessed plaintext communications while leaving the mathematical integrity of the underlying encryption protocols technically intact.</w:t>
      </w:r>
    </w:p>
    <w:p>
      <w:pPr>
        <w:keepNext/>
        <w:spacing w:before="240" w:after="60"/>
      </w:pPr>
      <w:r>
        <w:rPr>
          <w:rFonts w:ascii="Arial" w:hAnsi="Arial"/>
          <w:b/>
          <w:color w:val="771111"/>
          <w:sz w:val="22"/>
        </w:rPr>
        <w:t>9.4 Umbrage: The Digital False-Flag Fingerprint Repository</w:t>
      </w:r>
    </w:p>
    <w:p>
      <w:pPr>
        <w:spacing w:after="100" w:line="276" w:lineRule="auto"/>
      </w:pPr>
      <w:r>
        <w:rPr>
          <w:rFonts w:ascii="Calibri" w:hAnsi="Calibri"/>
          <w:sz w:val="22"/>
        </w:rPr>
        <w:t>The CIA's Remote Development Branch maintained 'Umbrage,' a classified digital repository of functional code snippets, execution routines, and obfuscation techniques observed in the wild and attributed to foreign nation-state threat actors, including Russia, China, North Korea, and commercial cybercrime syndicates.</w:t>
      </w:r>
    </w:p>
    <w:p>
      <w:pPr>
        <w:spacing w:after="100" w:line="276" w:lineRule="auto"/>
      </w:pPr>
      <w:r>
        <w:rPr>
          <w:rFonts w:ascii="Calibri" w:hAnsi="Calibri"/>
          <w:sz w:val="22"/>
        </w:rPr>
        <w:t>Rather than engineering proprietary code from scratch—which creates identifiable developmental signatures unique to American intelligence—CIA developers integrated modular components from Umbrage into active implants. Developers utilized Russian wiper routines, Chinese persistence mechanisms, and commercial keyloggers. This tradecraft served a strategic counter-forensic function: if a CIA implant was discovered during an active operation on a foreign network, commercial incident responders and foreign intelligence investigators analyzing binary artifacts frequently misattributed the intrusion to other advanced persistent threat (APT) groups based on familiar code reuse.</w:t>
      </w:r>
    </w:p>
    <w:p>
      <w:pPr>
        <w:keepNext/>
        <w:spacing w:before="240" w:after="60"/>
      </w:pPr>
      <w:r>
        <w:rPr>
          <w:rFonts w:ascii="Arial" w:hAnsi="Arial"/>
          <w:b/>
          <w:color w:val="771111"/>
          <w:sz w:val="22"/>
        </w:rPr>
        <w:t>9.5 Air-Gap Infiltration: Brutal Kangaroo and HammerDrill</w:t>
      </w:r>
    </w:p>
    <w:p>
      <w:pPr>
        <w:spacing w:after="100" w:line="276" w:lineRule="auto"/>
      </w:pPr>
      <w:r>
        <w:rPr>
          <w:rFonts w:ascii="Calibri" w:hAnsi="Calibri"/>
          <w:sz w:val="22"/>
        </w:rPr>
        <w:t>Vault 7 detailed methodologies for crossing physical air-gaps separating classified closed networks from the public internet. The 'Brutal Kangaroo' framework targeted Microsoft Windows systems via removable thumb drives, exploiting undocumented parsing vulnerabilities within the Windows Shell handling of `.LNK` shortcut files (mechanisms structurally related to Stuxnet's initial lateral movement).</w:t>
      </w:r>
    </w:p>
    <w:p>
      <w:pPr>
        <w:spacing w:after="100" w:line="276" w:lineRule="auto"/>
      </w:pPr>
      <w:r>
        <w:rPr>
          <w:rFonts w:ascii="Calibri" w:hAnsi="Calibri"/>
          <w:sz w:val="22"/>
        </w:rPr>
        <w:t>When an infected USB drive was connected to an air-gapped machine, the mere viewing of the drive directory within Windows Explorer triggered code execution without requiring the user to open or click an executable file. Concurrently, the 'HammerDrill' tool targeted CD-ROM and DVD media creation pipelines. The implant monitored optical disc burning software on internet-connected administrative computers, covertly injecting trojanized code into ISO disc image files as they were written to physical optical media, ensuring that software burned for air-gapped installation carried pre-packaged payloads into closed facilities.</w:t>
      </w:r>
    </w:p>
    <w:p>
      <w:pPr>
        <w:keepNext/>
        <w:spacing w:before="240" w:after="60"/>
      </w:pPr>
      <w:r>
        <w:rPr>
          <w:rFonts w:ascii="Arial" w:hAnsi="Arial"/>
          <w:b/>
          <w:color w:val="771111"/>
          <w:sz w:val="22"/>
        </w:rPr>
        <w:t>9.6 Vehicle Telematics Infiltration &amp; Automotive Bus Exploits</w:t>
      </w:r>
    </w:p>
    <w:p>
      <w:pPr>
        <w:spacing w:after="100" w:line="276" w:lineRule="auto"/>
      </w:pPr>
      <w:r>
        <w:rPr>
          <w:rFonts w:ascii="Calibri" w:hAnsi="Calibri"/>
          <w:sz w:val="22"/>
        </w:rPr>
        <w:t>Documentation within Vault 7 confirmed that the CIA's Embedded Development Branch actively evaluated the attack surface of modern connected vehicles, targeting commercial vehicle operating systems (such as QNX) and Controller Area Network (CAN) bus architectures. The research evaluated wireless exploitation vectors over cellular telematics units, Bluetooth interfaces, and in-vehicle diagnostic ports.</w:t>
      </w:r>
    </w:p>
    <w:p>
      <w:pPr>
        <w:spacing w:after="100" w:line="276" w:lineRule="auto"/>
      </w:pPr>
      <w:r>
        <w:rPr>
          <w:rFonts w:ascii="Calibri" w:hAnsi="Calibri"/>
          <w:sz w:val="22"/>
        </w:rPr>
        <w:t>While specific operational assassinations were not documented in the released files, security analysts noted that compromising safety-critical CAN bus communication nodes—which regulate electronic throttle control, anti-lock braking systems, and electronic power steering—could allow an intelligence service to execute remote vehicular sabotage or induce sudden mechanical failure while maintaining the superficial appearance of an accidental collision.</w:t>
      </w:r>
    </w:p>
    <w:p>
      <w:pPr>
        <w:keepNext/>
        <w:spacing w:before="240" w:after="60"/>
      </w:pPr>
      <w:r>
        <w:rPr>
          <w:rFonts w:ascii="Arial" w:hAnsi="Arial"/>
          <w:b/>
          <w:color w:val="771111"/>
          <w:sz w:val="22"/>
        </w:rPr>
        <w:t>9.7 Hive: Multi-Tiered Covert Proxy Infrastructure and Decoy Fronts</w:t>
      </w:r>
    </w:p>
    <w:p>
      <w:pPr>
        <w:spacing w:after="100" w:line="276" w:lineRule="auto"/>
      </w:pPr>
      <w:r>
        <w:rPr>
          <w:rFonts w:ascii="Calibri" w:hAnsi="Calibri"/>
          <w:sz w:val="22"/>
        </w:rPr>
        <w:t>To exfiltrate data from compromised endpoints without exposing Langley IP ranges, the CIA developed 'Hive,' a multi-tiered communication proxy infrastructure. Deployed implants communicated with public-facing commercial web domains established on external commercial virtual private servers.</w:t>
      </w:r>
    </w:p>
    <w:p>
      <w:pPr>
        <w:spacing w:after="100" w:line="276" w:lineRule="auto"/>
      </w:pPr>
      <w:r>
        <w:rPr>
          <w:rFonts w:ascii="Calibri" w:hAnsi="Calibri"/>
          <w:sz w:val="22"/>
        </w:rPr>
        <w:t>If a defensive network investigator or web crawler navigated to the domain, Hive served a completely functional, legitimate-appearing commercial website (such as an e-commerce catalog or travel blog). However, if an incoming connection transmitted an encrypted, authenticated TLS handshake embedded with proprietary cryptographic identifiers, the Hive proxy silently routed the connection through a labyrinth of multi-hop encrypted Virtual Private Networks to the CIA's internal operational servers (Blot), allowing continuous remote command-and-control with complete operational deniability.</w:t>
      </w:r>
    </w:p>
    <w:p>
      <w:pPr>
        <w:keepNext/>
        <w:spacing w:before="360" w:after="120"/>
      </w:pPr>
      <w:r>
        <w:rPr>
          <w:rFonts w:ascii="Arial" w:hAnsi="Arial"/>
          <w:b/>
          <w:color w:val="003366"/>
          <w:sz w:val="28"/>
        </w:rPr>
        <w:t>SECTION X: THE AESTHETICS OF CYBER WEAPONRY: NOMENCLATURE, TAXONOMY, AND ATTRIBUTION</w:t>
      </w:r>
    </w:p>
    <w:p>
      <w:pPr>
        <w:keepNext/>
        <w:spacing w:before="240" w:after="60"/>
      </w:pPr>
      <w:r>
        <w:rPr>
          <w:rFonts w:ascii="Arial" w:hAnsi="Arial"/>
          <w:b/>
          <w:color w:val="771111"/>
          <w:sz w:val="22"/>
        </w:rPr>
        <w:t>10.1 Pop-Culture Engineering: Why Intelligence Developers Cultivate Weapon 'Aura'</w:t>
      </w:r>
    </w:p>
    <w:p>
      <w:pPr>
        <w:spacing w:after="100" w:line="276" w:lineRule="auto"/>
      </w:pPr>
      <w:r>
        <w:rPr>
          <w:rFonts w:ascii="Calibri" w:hAnsi="Calibri"/>
          <w:sz w:val="22"/>
        </w:rPr>
        <w:t>The naming conventions observed across classified cyber weaponry—such as 'Weeping Angel,' 'Brutal Kangaroo,' 'Cottonmouth,' and 'Sonic Screwdriver'—reflect the cultural demographics of the engineers constructing offensive capabilities. Within agencies such as the CIA's Center for Cyber Intelligence and the NSA's Tailored Access Operations, development teams comprise young computer scientists and reverse engineers heavily influenced by science fiction, comic literature, and video games.</w:t>
      </w:r>
    </w:p>
    <w:p>
      <w:pPr>
        <w:spacing w:after="100" w:line="276" w:lineRule="auto"/>
      </w:pPr>
      <w:r>
        <w:rPr>
          <w:rFonts w:ascii="Calibri" w:hAnsi="Calibri"/>
          <w:sz w:val="22"/>
        </w:rPr>
        <w:t>For example, 'Weeping Angel' references an alien entity from the British television series Doctor Who that remains an inanimate stone statue when observed, but moves lethally when unobserved—mirroring the Samsung TV implant's 'Fake-Off' surveillance mode. Beyond personal humor, distinctive code words establish psychological framing within intelligence organizations, distinguishing routine administrative programs from high-leverage strategic capabilities and projecting organizational prestige across inter-agency operational reviews.</w:t>
      </w:r>
    </w:p>
    <w:p>
      <w:pPr>
        <w:keepNext/>
        <w:spacing w:before="240" w:after="60"/>
      </w:pPr>
      <w:r>
        <w:rPr>
          <w:rFonts w:ascii="Arial" w:hAnsi="Arial"/>
          <w:b/>
          <w:color w:val="771111"/>
          <w:sz w:val="22"/>
        </w:rPr>
        <w:t>10.2 The Military NICKA Generator: Two-Word Tactical Nomenclature</w:t>
      </w:r>
    </w:p>
    <w:p>
      <w:pPr>
        <w:spacing w:after="100" w:line="276" w:lineRule="auto"/>
      </w:pPr>
      <w:r>
        <w:rPr>
          <w:rFonts w:ascii="Calibri" w:hAnsi="Calibri"/>
          <w:sz w:val="22"/>
        </w:rPr>
        <w:t>In formal Department of Defense operations, the assignment of nicknames and code words is strictly governed by automated administrative systems, primarily the Joint Chiefs of Staff Code Word, Nickname, and Exercise Term System (NICKA). NICKA maintains a centralized, automated registry to prevent operational duplication and security compromises across unified combatant commands.</w:t>
      </w:r>
    </w:p>
    <w:p>
      <w:pPr>
        <w:spacing w:after="100" w:line="276" w:lineRule="auto"/>
      </w:pPr>
      <w:r>
        <w:rPr>
          <w:rFonts w:ascii="Calibri" w:hAnsi="Calibri"/>
          <w:sz w:val="22"/>
        </w:rPr>
        <w:t>Under NICKA protocols, specific combatant commands or intelligence directorates are allocated designated two-letter alphabetical blocks (e.g., allocations beginning with 'NE'). The system algorithmically pairs predefined word lists to produce authoritative, standardized operational titles—such as 'Neptune Spear' (the bin Laden raid) or 'Noble Eagle' (homeland aerospace defense). The resulting titles project operational solemnity while concealing mission parameters behind randomized lexical pairings.</w:t>
      </w:r>
    </w:p>
    <w:p>
      <w:pPr>
        <w:keepNext/>
        <w:spacing w:before="240" w:after="60"/>
      </w:pPr>
      <w:r>
        <w:rPr>
          <w:rFonts w:ascii="Arial" w:hAnsi="Arial"/>
          <w:b/>
          <w:color w:val="771111"/>
          <w:sz w:val="22"/>
        </w:rPr>
        <w:t>10.3 Corporate Threat Cartography: Weather and Animal Taxonomies</w:t>
      </w:r>
    </w:p>
    <w:p>
      <w:pPr>
        <w:spacing w:after="100" w:line="276" w:lineRule="auto"/>
      </w:pPr>
      <w:r>
        <w:rPr>
          <w:rFonts w:ascii="Calibri" w:hAnsi="Calibri"/>
          <w:sz w:val="22"/>
        </w:rPr>
        <w:t>Because nation-state threat actors operate covertly without public registration, commercial cybersecurity vendors developed standardized taxonomies to categorize state-sponsored advanced persistent threat (APT) groups for commercial clients and public media consumption.</w:t>
      </w:r>
    </w:p>
    <w:p>
      <w:pPr>
        <w:spacing w:after="100" w:line="276" w:lineRule="auto"/>
      </w:pPr>
      <w:r>
        <w:rPr>
          <w:rFonts w:ascii="Calibri" w:hAnsi="Calibri"/>
          <w:sz w:val="22"/>
        </w:rPr>
        <w:t>Microsoft Threat Intelligence utilizes a weather-based taxonomy categorized by geopolitical origin: Chinese state actors are designated as 'Typhoon' (e.g., Volt Typhoon, Salt Typhoon), Russian actors as 'Blizzard' (e.g., Midnight Blizzard), Iranian groups as 'Sandstorm' (e.g., Mint Sandstorm), North Korean groups as 'Sleet' (e.g., Opal Sleet), and financially motivated cybercrime as 'Tempest.' Similarly, CrowdStrike employs an animal-based taxonomy: Russia is designated as 'Bear' (e.g., Fancy Bear, Cozy Bear), China as 'Panda' (e.g., Gothic Panda), Iran as 'Kitten' (e.g., Charming Kitten), and North Korea as 'Chollima.' These commercial naming conventions convert dry technical attribution data into accessible narrative archetypes.</w:t>
      </w:r>
    </w:p>
    <w:p>
      <w:pPr>
        <w:keepNext/>
        <w:spacing w:before="360" w:after="120"/>
      </w:pPr>
      <w:r>
        <w:rPr>
          <w:rFonts w:ascii="Arial" w:hAnsi="Arial"/>
          <w:b/>
          <w:color w:val="003366"/>
          <w:sz w:val="28"/>
        </w:rPr>
        <w:t>SECTION XI: TRANSNATIONAL NARCO-CYBERNETICS: CARTEL ELECTRONIC WARFARE &amp; ACQUIRED TECH</w:t>
      </w:r>
    </w:p>
    <w:p>
      <w:pPr>
        <w:keepNext/>
        <w:spacing w:before="240" w:after="60"/>
      </w:pPr>
      <w:r>
        <w:rPr>
          <w:rFonts w:ascii="Arial" w:hAnsi="Arial"/>
          <w:b/>
          <w:color w:val="771111"/>
          <w:sz w:val="22"/>
        </w:rPr>
        <w:t>11.1 Coerced Infrastructure: Los Zetas and the Engineering of Clandestine Radio Networks</w:t>
      </w:r>
    </w:p>
    <w:p>
      <w:pPr>
        <w:spacing w:after="100" w:line="276" w:lineRule="auto"/>
      </w:pPr>
      <w:r>
        <w:rPr>
          <w:rFonts w:ascii="Calibri" w:hAnsi="Calibri"/>
          <w:sz w:val="22"/>
        </w:rPr>
        <w:t>Transnational organized crime syndicates, particularly Mexican cartels, do not construct advanced cyber weapons through internal academic research; instead, they leverage billions in liquid narcotics capital to coerce technical talent, purchase military-grade hardware, and hire external cyber mercenaries. The pioneer of cartel telecommunications engineering was Los Zetas, founded by former Mexican military special forces (GAFE) deserters.</w:t>
      </w:r>
    </w:p>
    <w:p>
      <w:pPr>
        <w:spacing w:after="100" w:line="276" w:lineRule="auto"/>
      </w:pPr>
      <w:r>
        <w:rPr>
          <w:rFonts w:ascii="Calibri" w:hAnsi="Calibri"/>
          <w:sz w:val="22"/>
        </w:rPr>
        <w:t>Between 2008 and 2012, Los Zetas systematically kidnapped dozens of professional telecommunications engineers, radio technicians, and academic experts across northern Mexico. Coerced at gunpoint, these engineers constructed 'Radio Zetas'—a private, encrypted, nationwide VHF and UHF tactical radio network. Technicians concealed solar-powered repeater towers in remote mountain ridges, disguised antennas within agricultural silos, and integrated commercial handheld transceivers with military-grade encryption modules, allowing cartel commanders to direct convoys and monitor military patrols across multiple Mexican states without utilizing commercial cellular infrastructure.</w:t>
      </w:r>
    </w:p>
    <w:p>
      <w:pPr>
        <w:keepNext/>
        <w:spacing w:before="240" w:after="60"/>
      </w:pPr>
      <w:r>
        <w:rPr>
          <w:rFonts w:ascii="Arial" w:hAnsi="Arial"/>
          <w:b/>
          <w:color w:val="771111"/>
          <w:sz w:val="22"/>
        </w:rPr>
        <w:t>11.2 Seaport Logistics Infiltration: The Antwerp and Rotterdam Container Operations</w:t>
      </w:r>
    </w:p>
    <w:p>
      <w:pPr>
        <w:spacing w:after="100" w:line="276" w:lineRule="auto"/>
      </w:pPr>
      <w:r>
        <w:rPr>
          <w:rFonts w:ascii="Calibri" w:hAnsi="Calibri"/>
          <w:sz w:val="22"/>
        </w:rPr>
        <w:t>In Western Europe, cartels have demonstrated sophisticated digital infiltration of commercial maritime logistics hubs. In the Port of Antwerp (Belgium) and the Port of Rotterdam (Netherlands)—the premier maritime gateways for global container traffic—narcotics syndicates bypassed physical customs checkpoints by hiring freelance Eastern European cyber specialists.</w:t>
      </w:r>
    </w:p>
    <w:p>
      <w:pPr>
        <w:spacing w:after="100" w:line="276" w:lineRule="auto"/>
      </w:pPr>
      <w:r>
        <w:rPr>
          <w:rFonts w:ascii="Calibri" w:hAnsi="Calibri"/>
          <w:sz w:val="22"/>
        </w:rPr>
        <w:t>Attackers deployed targeted spear-phishing emails and physically compromised internal workstations by concealing hardware keyloggers inside port authority keyboards. Once administrative access was achieved, hackers monitored internal container management databases in real time, identifying which specific cargo containers were flagged by customs authorities for physical X-ray inspection. Furthermore, attackers swapped container registration codes and extracted release PIN numbers, enabling cartel truck drivers to enter automated terminal gates, retrieve multi-ton cocaine shipments, and exit port facilities hours before customs personnel conducted audits.</w:t>
      </w:r>
    </w:p>
    <w:p>
      <w:pPr>
        <w:keepNext/>
        <w:spacing w:before="240" w:after="60"/>
      </w:pPr>
      <w:r>
        <w:rPr>
          <w:rFonts w:ascii="Arial" w:hAnsi="Arial"/>
          <w:b/>
          <w:color w:val="771111"/>
          <w:sz w:val="22"/>
        </w:rPr>
        <w:t>11.3 Commercial Spyware Proliferation: Pegasus in Narco-State Operations</w:t>
      </w:r>
    </w:p>
    <w:p>
      <w:pPr>
        <w:spacing w:after="100" w:line="276" w:lineRule="auto"/>
      </w:pPr>
      <w:r>
        <w:rPr>
          <w:rFonts w:ascii="Calibri" w:hAnsi="Calibri"/>
          <w:sz w:val="22"/>
        </w:rPr>
        <w:t>The proliferation of commercial cyber-surveillance software—principally NSO Group's Pegasus—blurred the boundary between state counter-narcotics operations and cartel surveillance. While purchased by Mexican state and federal security agencies under bilateral security assistance funding to combat drug cartels, compromised officials frequently repurposed the spyware for cartel intelligence collection.</w:t>
      </w:r>
    </w:p>
    <w:p>
      <w:pPr>
        <w:spacing w:after="100" w:line="276" w:lineRule="auto"/>
      </w:pPr>
      <w:r>
        <w:rPr>
          <w:rFonts w:ascii="Calibri" w:hAnsi="Calibri"/>
          <w:sz w:val="22"/>
        </w:rPr>
        <w:t>Investigations by digital rights organizations confirmed that Pegasus was actively deployed against Mexican investigative journalists, anti-corruption prosecutors, and human rights attorneys. In 2017, investigative reporter Cecilio Pineda Birto—who reported extensively on political collusion with regional cartels—had his personal mobile device infected with Pegasus spyware hours prior to his physical assassination by motorcycle-mounted gunmen at a carwash, demonstrating how military-grade zero-click surveillance tools are weaponized to facilitate physical kinetic executions.</w:t>
      </w:r>
    </w:p>
    <w:p>
      <w:pPr>
        <w:keepNext/>
        <w:spacing w:before="240" w:after="60"/>
      </w:pPr>
      <w:r>
        <w:rPr>
          <w:rFonts w:ascii="Arial" w:hAnsi="Arial"/>
          <w:b/>
          <w:color w:val="771111"/>
          <w:sz w:val="22"/>
        </w:rPr>
        <w:t>11.4 Mobile IMSI-Catchers and Tactical SIGINT Arrays</w:t>
      </w:r>
    </w:p>
    <w:p>
      <w:pPr>
        <w:spacing w:after="100" w:line="276" w:lineRule="auto"/>
      </w:pPr>
      <w:r>
        <w:rPr>
          <w:rFonts w:ascii="Calibri" w:hAnsi="Calibri"/>
          <w:sz w:val="22"/>
        </w:rPr>
        <w:t>Cartels frequently deploy commercial-off-the-shelf and military-grade International Mobile Subscriber Identity (IMSI) catchers (commonly referred to as 'Stingrays'). Concealed within unmarked civilian SUVs and commercial vans, these devices operate as counterfeit cellular base stations, forcing all mobile devices within a multi-block radius to disconnect from legitimate carrier networks and establish connections with the interceptor.</w:t>
      </w:r>
    </w:p>
    <w:p>
      <w:pPr>
        <w:spacing w:after="100" w:line="276" w:lineRule="auto"/>
      </w:pPr>
      <w:r>
        <w:rPr>
          <w:rFonts w:ascii="Calibri" w:hAnsi="Calibri"/>
          <w:sz w:val="22"/>
        </w:rPr>
        <w:t>By harvesting IMSI and IMEI identifiers in real time, cartel signals intelligence cells monitor the movements of Mexican federal military convoys, identify undercover law enforcement personnel in conflict zones, and locate rival cartel leadership hiding in suburban safe houses. Cartel communications squads simultaneously deploy tactical radio scanners to intercept unencrypted municipal police radio frequencies, adjusting logistics routes to evade law enforcement checkpoints.</w:t>
      </w:r>
    </w:p>
    <w:p>
      <w:pPr>
        <w:keepNext/>
        <w:spacing w:before="240" w:after="60"/>
      </w:pPr>
      <w:r>
        <w:rPr>
          <w:rFonts w:ascii="Arial" w:hAnsi="Arial"/>
          <w:b/>
          <w:color w:val="771111"/>
          <w:sz w:val="22"/>
        </w:rPr>
        <w:t>11.5 Asymmetric Drone Warfare and Electronic Warfare Countermeasures</w:t>
      </w:r>
    </w:p>
    <w:p>
      <w:pPr>
        <w:spacing w:after="100" w:line="276" w:lineRule="auto"/>
      </w:pPr>
      <w:r>
        <w:rPr>
          <w:rFonts w:ascii="Calibri" w:hAnsi="Calibri"/>
          <w:sz w:val="22"/>
        </w:rPr>
        <w:t>In conflict zones such as Michoacán, Zacatecas, and Jalisco, major syndicates—predominantly the Cartel Jalisco Nueva Generación (CJNG)—have operationalized dedicated drone warfare units. Utilizing commercial multi-rotor consumer drones (such as DJI platforms), cartels integrate 3D-printed release mechanisms capable of dropping stabilized C4 plastic explosive charges, fragmentation grenades, and chemical irritants directly into rival defensive trenches, fortified encampments, and police outposts.</w:t>
      </w:r>
    </w:p>
    <w:p>
      <w:pPr>
        <w:spacing w:after="100" w:line="276" w:lineRule="auto"/>
      </w:pPr>
      <w:r>
        <w:rPr>
          <w:rFonts w:ascii="Calibri" w:hAnsi="Calibri"/>
          <w:sz w:val="22"/>
        </w:rPr>
        <w:t>To counter military electronic anti-drone systems (which emit targeted radio-frequency noise to sever the control link and force drones to auto-land), cartel technical units modify firmware. Operators flash open-source flight controller software (such as ArduPilot), modify transmission frequencies to non-standard radio bands, and program autonomous GPS-independent waypoint navigation, allowing explosive-laden drones to execute pre-programmed kinetic strikes even when commercial GPS and radio signals are jammed.</w:t>
      </w:r>
    </w:p>
    <w:p>
      <w:pPr>
        <w:keepNext/>
        <w:spacing w:before="240" w:after="60"/>
      </w:pPr>
      <w:r>
        <w:rPr>
          <w:rFonts w:ascii="Arial" w:hAnsi="Arial"/>
          <w:b/>
          <w:color w:val="771111"/>
          <w:sz w:val="22"/>
        </w:rPr>
        <w:t>11.6 The Dark Web Nexus: Transnational Crypto-Laundering with Ransomware Syndicates</w:t>
      </w:r>
    </w:p>
    <w:p>
      <w:pPr>
        <w:spacing w:after="100" w:line="276" w:lineRule="auto"/>
      </w:pPr>
      <w:r>
        <w:rPr>
          <w:rFonts w:ascii="Calibri" w:hAnsi="Calibri"/>
          <w:sz w:val="22"/>
        </w:rPr>
        <w:t>The financial intersection between Latin American narcotics syndicates and Russian-speaking cybercrime cartels has formalized into a transnational laundering network. Cartels generate massive volumes of physical fiat cash in North America and Europe that require laundering into legitimate global financial institutions.</w:t>
      </w:r>
    </w:p>
    <w:p>
      <w:pPr>
        <w:spacing w:after="100" w:line="276" w:lineRule="auto"/>
      </w:pPr>
      <w:r>
        <w:rPr>
          <w:rFonts w:ascii="Calibri" w:hAnsi="Calibri"/>
          <w:sz w:val="22"/>
        </w:rPr>
        <w:t>Concurrently, Eastern European ransomware syndicates (such as ALPHV, LockBit, and BlackCat) generate hundreds of millions of dollars in illicit cryptocurrency (Bitcoin and Monero) that carry public blockchain tracking risks. Cartels and ransomware operators establish reciprocal laundering agreements: cartels supply physical cash to cyber criminals in global financial hubs, while cybercrime networks transfer privacy-focused cryptocurrency through decentralized mixers and peer-to-peer exchanges, creating a multi-billion-dollar underground financial ecosystem linking physical narcotics distribution with digital extortion.</w:t>
      </w:r>
    </w:p>
    <w:p>
      <w:pPr>
        <w:keepNext/>
        <w:spacing w:before="360" w:after="120"/>
      </w:pPr>
      <w:r>
        <w:rPr>
          <w:rFonts w:ascii="Arial" w:hAnsi="Arial"/>
          <w:b/>
          <w:color w:val="003366"/>
          <w:sz w:val="28"/>
        </w:rPr>
        <w:t>SECTION XII: FRONTIER CONCEPTUAL EXPLOITS: KINETIC-ACOUSTIC HYBRIDS &amp; SEISMIC BRIDGING</w:t>
      </w:r>
    </w:p>
    <w:p>
      <w:pPr>
        <w:keepNext/>
        <w:spacing w:before="240" w:after="60"/>
      </w:pPr>
      <w:r>
        <w:rPr>
          <w:rFonts w:ascii="Arial" w:hAnsi="Arial"/>
          <w:b/>
          <w:color w:val="771111"/>
          <w:sz w:val="22"/>
        </w:rPr>
        <w:t>12.1 The Kinetic-to-Acoustic Trigger: Engineered Munitions as Cyber Carrier Waves</w:t>
      </w:r>
    </w:p>
    <w:p>
      <w:pPr>
        <w:spacing w:after="100" w:line="276" w:lineRule="auto"/>
      </w:pPr>
      <w:r>
        <w:rPr>
          <w:rFonts w:ascii="Calibri" w:hAnsi="Calibri"/>
          <w:sz w:val="22"/>
        </w:rPr>
        <w:t>A sophisticated theoretical attack surface bridging kinetic operations and cyber exploitation is the 'Kinetic-to-Acoustic Trigger.' Traditional offensive cyber warfare relies on electronic signals (radio waves, fiber-optic packets) that can be intercepted, jammed, or physically severed by air-gapping secure facilities. Conversely, a kinetic-acoustic hybrid weapon utilizes physical concussive shockwaves as an unjammable data transmission medium.</w:t>
      </w:r>
    </w:p>
    <w:p>
      <w:pPr>
        <w:spacing w:after="100" w:line="276" w:lineRule="auto"/>
      </w:pPr>
      <w:r>
        <w:rPr>
          <w:rFonts w:ascii="Calibri" w:hAnsi="Calibri"/>
          <w:sz w:val="22"/>
        </w:rPr>
        <w:t>In this operational architecture, an intelligence agency pre-positions a dormant, fileless listener script inside an air-gapped facility via supply-chain interdiction. When military planners initiate an attack, an aircraft or loitering munition deploys a specialized non-lethal penetrator or engineered explosive charge immediately adjacent to the target bunker. Rather than relying on random explosive detonation, the munition incorporates a high-pressure piezoelectric transducer or shaped acoustic charge that detonates with an exact, mathematically engineered harmonic frequency spectrum (e.g., dual acoustic pulses at specific harmonic intervals).</w:t>
      </w:r>
    </w:p>
    <w:p>
      <w:pPr>
        <w:keepNext/>
        <w:spacing w:before="240" w:after="60"/>
      </w:pPr>
      <w:r>
        <w:rPr>
          <w:rFonts w:ascii="Arial" w:hAnsi="Arial"/>
          <w:b/>
          <w:color w:val="771111"/>
          <w:sz w:val="22"/>
        </w:rPr>
        <w:t>12.2 Seismic Foundation Propagation: Bypassing Faraday Cages via Solid Concrete</w:t>
      </w:r>
    </w:p>
    <w:p>
      <w:pPr>
        <w:spacing w:after="100" w:line="276" w:lineRule="auto"/>
      </w:pPr>
      <w:r>
        <w:rPr>
          <w:rFonts w:ascii="Calibri" w:hAnsi="Calibri"/>
          <w:sz w:val="22"/>
        </w:rPr>
        <w:t>High-security military installations, nuclear command bunkers, and SCIFs are routinely enclosed within copper and steel Faraday cages to attenuate electromagnetic radiation and prevent radio-frequency eavesdropping. However, while metallic shielding halts radio waves, solid physical materials act as high-speed acoustic conductors. Acoustic pressure waves travel at approximately 343 meters per second in air, but accelerate to roughly 1,500 meters per second through water and over 3,000 to 5,000 meters per second through reinforced concrete and structural steel.</w:t>
      </w:r>
    </w:p>
    <w:p>
      <w:pPr>
        <w:spacing w:after="100" w:line="276" w:lineRule="auto"/>
      </w:pPr>
      <w:r>
        <w:rPr>
          <w:rFonts w:ascii="Calibri" w:hAnsi="Calibri"/>
          <w:sz w:val="22"/>
        </w:rPr>
        <w:t>A concussive shockwave or seismic impact outside the facility propagates directly through the bedrock, structural pilings, and concrete foundation of the bunker. The physical vibration enters the facility through structural walls, vibrating the chassis of server racks and desks, completely bypassing external electromagnetic shielding without requiring an open physical conduit or radio receiver.</w:t>
      </w:r>
    </w:p>
    <w:p>
      <w:pPr>
        <w:keepNext/>
        <w:spacing w:before="240" w:after="60"/>
      </w:pPr>
      <w:r>
        <w:rPr>
          <w:rFonts w:ascii="Arial" w:hAnsi="Arial"/>
          <w:b/>
          <w:color w:val="771111"/>
          <w:sz w:val="22"/>
        </w:rPr>
        <w:t>12.3 The Microphone-Free Listener: MEMS Accelerometer and Gyroscopic Voice Recovery</w:t>
      </w:r>
    </w:p>
    <w:p>
      <w:pPr>
        <w:spacing w:after="100" w:line="276" w:lineRule="auto"/>
      </w:pPr>
      <w:r>
        <w:rPr>
          <w:rFonts w:ascii="Calibri" w:hAnsi="Calibri"/>
          <w:sz w:val="22"/>
        </w:rPr>
        <w:t>A critical vulnerability in modern computing devices is that hardware motion sensors can function as acoustic microphones. Secure facilities frequently enforce hardware policies where physical microphone hardware is de-soldered, disconnected, or disabled in BIOS configurations to prevent eavesdropping. However, modern laptops, smartphones, and embedded system boards retain Micro-Electro-Mechanical Systems (MEMS) accelerometers and gyroscopes to detect physical orientation.</w:t>
      </w:r>
    </w:p>
    <w:p>
      <w:pPr>
        <w:spacing w:after="100" w:line="276" w:lineRule="auto"/>
      </w:pPr>
      <w:r>
        <w:rPr>
          <w:rFonts w:ascii="Calibri" w:hAnsi="Calibri"/>
          <w:sz w:val="22"/>
        </w:rPr>
        <w:t>Groundbreaking research from Stanford University and cybersecurity laboratories confirmed that consumer MEMS accelerometers possess sufficient sensitivity to measure microscopic physical vibrations generated by acoustic waves traveling through air and solid surfaces (such as a wooden desk or steel server chassis). A low-privileged script running in memory can sample the raw sensor telemetry from an accelerometer without requesting operating system microphone permissions. The script processes accelerometer telemetry through frequency analysis, reconstructing spoken voice frequencies and seismic trigger pulses directly from physical device movement.</w:t>
      </w:r>
    </w:p>
    <w:p>
      <w:pPr>
        <w:keepNext/>
        <w:spacing w:before="240" w:after="60"/>
      </w:pPr>
      <w:r>
        <w:rPr>
          <w:rFonts w:ascii="Arial" w:hAnsi="Arial"/>
          <w:b/>
          <w:color w:val="771111"/>
          <w:sz w:val="22"/>
        </w:rPr>
        <w:t>12.4 Acoustic Resonance Sabotage: Hard Drive Platter Disruption via 130 Hz Frequencies</w:t>
      </w:r>
    </w:p>
    <w:p>
      <w:pPr>
        <w:spacing w:after="100" w:line="276" w:lineRule="auto"/>
      </w:pPr>
      <w:r>
        <w:rPr>
          <w:rFonts w:ascii="Calibri" w:hAnsi="Calibri"/>
          <w:sz w:val="22"/>
        </w:rPr>
        <w:t>Acoustic warfare can also execute physical kinetic denial-of-service against data storage infrastructure. Enterprise server environments rely heavily on spinning magnetic Hard Disk Drives (HDDs) to store petabytes of operational data. HDD read/write heads hover nanometers above magnetic platters spinning at 7,200 to 15,000 RPM, maintaining positioning through delicate internal feedback loops.</w:t>
      </w:r>
    </w:p>
    <w:p>
      <w:pPr>
        <w:spacing w:after="100" w:line="276" w:lineRule="auto"/>
      </w:pPr>
      <w:r>
        <w:rPr>
          <w:rFonts w:ascii="Calibri" w:hAnsi="Calibri"/>
          <w:sz w:val="22"/>
        </w:rPr>
        <w:t>Cybersecurity researchers demonstrated that broadcasting specific acoustic tones—typically low-frequency sound waves in the 130 Hz to 200 Hz range—creates mechanical resonance with the internal drive platters. The acoustic pressure causes physical vibration in the read/write arm, forcing the hard drive controller to halt all read and write operations to prevent the magnetic head from scratching the platter. Saturated with continuous resonant acoustic noise, commercial servers experience complete storage I/O freezing, crashing operating systems and inducing catastrophic facility-wide system halts purely through external sound waves.</w:t>
      </w:r>
    </w:p>
    <w:p>
      <w:pPr>
        <w:keepNext/>
        <w:spacing w:before="240" w:after="60"/>
      </w:pPr>
      <w:r>
        <w:rPr>
          <w:rFonts w:ascii="Arial" w:hAnsi="Arial"/>
          <w:b/>
          <w:color w:val="771111"/>
          <w:sz w:val="22"/>
        </w:rPr>
        <w:t>12.5 The Zero-Trace Operational Sequence: Blast Wave to Memory Execution</w:t>
      </w:r>
    </w:p>
    <w:p>
      <w:pPr>
        <w:spacing w:after="100" w:line="276" w:lineRule="auto"/>
      </w:pPr>
      <w:r>
        <w:rPr>
          <w:rFonts w:ascii="Calibri" w:hAnsi="Calibri"/>
          <w:sz w:val="22"/>
        </w:rPr>
        <w:t>The complete kinetic-acoustic attack chain operates as a multi-domain sequence: A dormant software listener residing in volatile RAM monitors background acoustic and seismic telemetry captured via MEMS accelerometers or low-level audio APIs. When the kinetic munition detonates outside the bunker, the concussive shockwave transmits through the concrete foundation. The software analyzes the seismic signature using a Fast Fourier Transform, confirms that the harmonic signature matches a 256-bit cryptographic trigger key, and immediately awakens.</w:t>
      </w:r>
    </w:p>
    <w:p>
      <w:pPr>
        <w:spacing w:after="100" w:line="276" w:lineRule="auto"/>
      </w:pPr>
      <w:r>
        <w:rPr>
          <w:rFonts w:ascii="Calibri" w:hAnsi="Calibri"/>
          <w:sz w:val="22"/>
        </w:rPr>
        <w:t>Upon waking, the malware executes its pre-loaded objective: zeroing cryptographic storage keys, altering centrifuge PLC commands, or wiping emergency generator firmware. Defensive investigators analyzing the system afterward identify only an external physical explosion; the internal network shows zero firewall breaches, zero dropped network packets, and zero external radio frequencies, while volatile RAM clears upon system shutdown, leaving the precise operational trigger completely untraceable in forensic reviews.</w:t>
      </w:r>
    </w:p>
    <w:p>
      <w:pPr>
        <w:keepNext/>
        <w:spacing w:before="360" w:after="120"/>
      </w:pPr>
      <w:r>
        <w:rPr>
          <w:rFonts w:ascii="Arial" w:hAnsi="Arial"/>
          <w:b/>
          <w:color w:val="003366"/>
          <w:sz w:val="28"/>
        </w:rPr>
        <w:t>SECTION XIII: THE OPERATIONAL ROADMAP: FROM FOUNDATIONAL SKILLS TO NATION-STATE RECRUITMENT</w:t>
      </w:r>
    </w:p>
    <w:p>
      <w:pPr>
        <w:keepNext/>
        <w:spacing w:before="240" w:after="60"/>
      </w:pPr>
      <w:r>
        <w:rPr>
          <w:rFonts w:ascii="Arial" w:hAnsi="Arial"/>
          <w:b/>
          <w:color w:val="771111"/>
          <w:sz w:val="22"/>
        </w:rPr>
        <w:t>13.1 Cognitive &amp; Analytical Pre-Requisites: Systems-Thinking and Adversarial Instinct</w:t>
      </w:r>
    </w:p>
    <w:p>
      <w:pPr>
        <w:spacing w:after="100" w:line="276" w:lineRule="auto"/>
      </w:pPr>
      <w:r>
        <w:rPr>
          <w:rFonts w:ascii="Calibri" w:hAnsi="Calibri"/>
          <w:sz w:val="22"/>
        </w:rPr>
        <w:t>Attaining elite operational capability in offensive and defensive cybersecurity requires a specific cognitive profile that diverges from standard commercial software development. Traditional software engineering emphasizes constructive syntax: assembling known frameworks to produce functional business applications. Conversely, offensive security and nation-state cyber tradecraft demand first-principles systems thinking—the capacity to conceptualize complex architectures as interrelated mechanical loops and identify subtle edge cases where protocol specifications contradict hardware realities.</w:t>
      </w:r>
    </w:p>
    <w:p>
      <w:pPr>
        <w:spacing w:after="100" w:line="276" w:lineRule="auto"/>
      </w:pPr>
      <w:r>
        <w:rPr>
          <w:rFonts w:ascii="Calibri" w:hAnsi="Calibri"/>
          <w:sz w:val="22"/>
        </w:rPr>
        <w:t>The defining cognitive asset in security engineering is the adversarial mindset. The practitioner does not evaluate a digital system through its intended operational design; rather, they analyze physical constraints, memory allocation boundaries, human trust assumptions, and side-channel leakages (such as electromagnetic emissions, timing variations, or acoustic conduction). Successful progression from foundational scripting to high-tier exploitation requires coupling this macro-level strategic intuition with relentless micro-level technical discipline: the persistence to analyze disassembler logs, debug runtime access violations, and trace memory registers through extended laboratory sessions.</w:t>
      </w:r>
    </w:p>
    <w:p>
      <w:pPr>
        <w:keepNext/>
        <w:spacing w:before="240" w:after="60"/>
      </w:pPr>
      <w:r>
        <w:rPr>
          <w:rFonts w:ascii="Arial" w:hAnsi="Arial"/>
          <w:b/>
          <w:color w:val="771111"/>
          <w:sz w:val="22"/>
        </w:rPr>
        <w:t>13.2 Phase 1: Core Networking, Operating System Internals, and Wire-Level Protocol Analysis (Months 0–6)</w:t>
      </w:r>
    </w:p>
    <w:p>
      <w:pPr>
        <w:spacing w:after="100" w:line="276" w:lineRule="auto"/>
      </w:pPr>
      <w:r>
        <w:rPr>
          <w:rFonts w:ascii="Calibri" w:hAnsi="Calibri"/>
          <w:sz w:val="22"/>
        </w:rPr>
        <w:t>The foundational phase requires developing exhaustive comprehension of the transmission control protocol / internet protocol (TCP/IP) model and low-level operating system architectures. Practitioners must transition from abstract conceptual models to wire-level packet inspection, utilizing tools such as Wireshark and tcpdump to analyze raw hex data across Layer 2 (Ethernet/ARP), Layer 3 (IP/ICMP), Layer 4 (TCP/UDP state handshakes), and Layer 7 (HTTP, DNS, SMB, and TLS/SSL negotiation).</w:t>
      </w:r>
    </w:p>
    <w:p>
      <w:pPr>
        <w:spacing w:after="100" w:line="276" w:lineRule="auto"/>
      </w:pPr>
      <w:r>
        <w:rPr>
          <w:rFonts w:ascii="Calibri" w:hAnsi="Calibri"/>
          <w:sz w:val="22"/>
        </w:rPr>
        <w:t>Concurrently, foundational mastery of the Linux operating system is mandatory. Practitioners should complete hands-on terminal training through structured environments such as the OverTheWire Bandit wargames, developing deep operational fluency in shell scripting (Bash), POSIX file permission structures, process management, and kernel virtual filesystems (`/proc`, `/sys`). In parallel, foundational Python skills must be specialized for offensive network manipulation: leveraging the native `socket` library to construct custom port scanners and raw client-server sockets, utilizing `scapy` to forge and sniff arbitrary network packets, and deploying `requests` to automate web endpoint fuzzing. The curriculum at this stage is anchored in platforms like TryHackMe (specifically the Pre-Security and Web Fundamentals learning paths).</w:t>
      </w:r>
    </w:p>
    <w:p>
      <w:pPr>
        <w:keepNext/>
        <w:spacing w:before="240" w:after="60"/>
      </w:pPr>
      <w:r>
        <w:rPr>
          <w:rFonts w:ascii="Arial" w:hAnsi="Arial"/>
          <w:b/>
          <w:color w:val="771111"/>
          <w:sz w:val="22"/>
        </w:rPr>
        <w:t>13.3 Phase 2: Enterprise Red Teaming, Active Directory Exploitation, and Lateral Movement (Months 6–12)</w:t>
      </w:r>
    </w:p>
    <w:p>
      <w:pPr>
        <w:spacing w:after="100" w:line="276" w:lineRule="auto"/>
      </w:pPr>
      <w:r>
        <w:rPr>
          <w:rFonts w:ascii="Calibri" w:hAnsi="Calibri"/>
          <w:sz w:val="22"/>
        </w:rPr>
        <w:t>Having established network and operating system baselines, the second phase transitions into enterprise offensive methodologies. The modern corporate and government infrastructure environment is dominated by Microsoft Windows Active Directory (AD) architectures. Practitioners must analyze how domain controllers authenticate and manage users across enterprise forests utilizing Kerberos, NTLM, and LDAP protocols.</w:t>
      </w:r>
    </w:p>
    <w:p>
      <w:pPr>
        <w:spacing w:after="100" w:line="276" w:lineRule="auto"/>
      </w:pPr>
      <w:r>
        <w:rPr>
          <w:rFonts w:ascii="Calibri" w:hAnsi="Calibri"/>
          <w:sz w:val="22"/>
        </w:rPr>
        <w:t>Training focuses on practical exploit paths: credential dumping from the Local Security Authority Subsystem Service (LSASS), Kerberoasting service principal names, Pass-the-Hash and Pass-the-Ticket lateral movement, token impersonation, and Active Directory certificate services (AD CS) abuse. Practitioners advance through Hack The Box (HTB) Academy, deploying industry-standard operational suites including Burp Suite Professional for web application security testing, BloodHound for domain trust mapping, Mimikatz for credential extraction, and the Metasploit Framework for payload delivery. By month 12, practitioners establish the competencies required to execute comprehensive, multi-stage enterprise penetration tests.</w:t>
      </w:r>
    </w:p>
    <w:p>
      <w:pPr>
        <w:keepNext/>
        <w:spacing w:before="240" w:after="60"/>
      </w:pPr>
      <w:r>
        <w:rPr>
          <w:rFonts w:ascii="Arial" w:hAnsi="Arial"/>
          <w:b/>
          <w:color w:val="771111"/>
          <w:sz w:val="22"/>
        </w:rPr>
        <w:t>13.4 Phase 3: Low-Level Binary Exploitation, Ghidra Reverse Engineering, and Custom Exploit Development (Months 12–24)</w:t>
      </w:r>
    </w:p>
    <w:p>
      <w:pPr>
        <w:spacing w:after="100" w:line="276" w:lineRule="auto"/>
      </w:pPr>
      <w:r>
        <w:rPr>
          <w:rFonts w:ascii="Calibri" w:hAnsi="Calibri"/>
          <w:sz w:val="22"/>
        </w:rPr>
        <w:t>The third phase establishes the technical divide between commercial penetration testers and elite exploit developers. Practitioners transition into low-level systems programming in C and assembly language (x86 and x64), analyzing how compilers translate high-level control structures into machine instructions and memory call stacks.</w:t>
      </w:r>
    </w:p>
    <w:p>
      <w:pPr>
        <w:spacing w:after="100" w:line="276" w:lineRule="auto"/>
      </w:pPr>
      <w:r>
        <w:rPr>
          <w:rFonts w:ascii="Calibri" w:hAnsi="Calibri"/>
          <w:sz w:val="22"/>
        </w:rPr>
        <w:t>Using reverse-engineering platforms—primarily the NSA-developed Ghidra decompiler, IDA Pro, and dynamic debuggers like x64dbg and GDB—practitioners decompile compiled Portable Executable (PE) and Executable and Linkable Format (ELF) binaries without source code access. Training centers on discovering and operationalizing memory corruption vulnerabilities: calculating exact stack buffer overflow offsets, weaponizing format string bugs, executing heap spraying, and constructing Return-Oriented Programming (ROP) gadget chains to systematically bypass Data Execution Prevention (DEP/NX) and Address Space Layout Randomization (ASLR). Practitioners write custom exploit scripts in Python to weaponize identified software flaws into reliable, remote code execution payloads.</w:t>
      </w:r>
    </w:p>
    <w:p>
      <w:pPr>
        <w:keepNext/>
        <w:spacing w:before="240" w:after="60"/>
      </w:pPr>
      <w:r>
        <w:rPr>
          <w:rFonts w:ascii="Arial" w:hAnsi="Arial"/>
          <w:b/>
          <w:color w:val="771111"/>
          <w:sz w:val="22"/>
        </w:rPr>
        <w:t>13.5 Phase 4: Nation-State Tier: Kernel Implants, Firmware Analysis, and Air-Gap Tooling (Months 24–36)</w:t>
      </w:r>
    </w:p>
    <w:p>
      <w:pPr>
        <w:spacing w:after="100" w:line="276" w:lineRule="auto"/>
      </w:pPr>
      <w:r>
        <w:rPr>
          <w:rFonts w:ascii="Calibri" w:hAnsi="Calibri"/>
          <w:sz w:val="22"/>
        </w:rPr>
        <w:t>The final developmental tier bridges advanced software exploitation with hardware and signals intelligence, aligning with the operational profiles of national cyber warfare directorates (such as the NSA's Tailored Access Operations, the CIA's Center for Cyber Intelligence, or military Cyber Combat Mission Teams). Practitioners study Windows and Linux kernel internals, learning to develop ring-0 kernel drivers, rootkits, and Direct Kernel Object Manipulation (DKOM) techniques that bypass modern Endpoint Detection and Response (EDR) telemetry.</w:t>
      </w:r>
    </w:p>
    <w:p>
      <w:pPr>
        <w:spacing w:after="100" w:line="276" w:lineRule="auto"/>
      </w:pPr>
      <w:r>
        <w:rPr>
          <w:rFonts w:ascii="Calibri" w:hAnsi="Calibri"/>
          <w:sz w:val="22"/>
        </w:rPr>
        <w:t>The operational scope expands to non-standard environments: analyzing embedded Internet of Things (IoT) firmware extracted via hardware interfaces (JTAG, UART, SPI flash desoldering), evaluating Software-Defined Radio (SDR) platforms (utilizing HackRF or BladeRF to analyze wireless RF protocols and satellite downlinks), and engineering fileless, memory-only implants that execute via Living-Off-the-Land techniques. At this tier, practitioners engage in original vulnerability discovery, auditing proprietary enterprise software to identify novel zero-day vulnerabilities and publishing responsible Common Vulnerabilities and Exposures (CVE) disclosures.</w:t>
      </w:r>
    </w:p>
    <w:p>
      <w:pPr>
        <w:keepNext/>
        <w:spacing w:before="240" w:after="60"/>
      </w:pPr>
      <w:r>
        <w:rPr>
          <w:rFonts w:ascii="Arial" w:hAnsi="Arial"/>
          <w:b/>
          <w:color w:val="771111"/>
          <w:sz w:val="22"/>
        </w:rPr>
        <w:t>13.6 Industry Certification Milestones: The Practical Credential Hierarchy</w:t>
      </w:r>
    </w:p>
    <w:p>
      <w:pPr>
        <w:spacing w:after="100" w:line="276" w:lineRule="auto"/>
      </w:pPr>
      <w:r>
        <w:rPr>
          <w:rFonts w:ascii="Calibri" w:hAnsi="Calibri"/>
          <w:sz w:val="22"/>
        </w:rPr>
        <w:t>Professional certification provides standardized validation of technical competence across commercial and government hiring authorities. The optimal progression emphasizes hands-on, performance-based examinations over theoretical multiple-choice tests:</w:t>
      </w:r>
    </w:p>
    <w:p>
      <w:pPr>
        <w:spacing w:after="100" w:line="276" w:lineRule="auto"/>
      </w:pPr>
      <w:r>
        <w:rPr>
          <w:rFonts w:ascii="Calibri" w:hAnsi="Calibri"/>
          <w:sz w:val="22"/>
        </w:rPr>
        <w:t>1. CompTIA Security+: The foundational compliance credential, establishing baseline knowledge of cryptography, enterprise infrastructure security, and access control models, fulfilling U.S. Department of Defense Directive 8140 / 8570 baseline requirements for federal cyber personnel.</w:t>
        <w:br/>
        <w:t>2. eLearnSecurity Junior Penetration Tester (eJPT): A practical, hands-on certification requiring candidates to conduct a live network assessment and execute exploits against real target infrastructure in a proctored lab environment.</w:t>
        <w:br/>
        <w:t>3. Offensive Security Certified Professional (OSCP): The industry gold standard for penetration testing. The examination consists of a rigorous 24-hour hands-on performance test wherein candidates must compromise multiple secured targets across an Active Directory enterprise network, followed by a formal technical report detailing exploitation paths.</w:t>
        <w:br/>
        <w:t>4. Offensive Security Exploit Developer (OSED): An advanced credential verifying mastery of x86/x64 assembly, reverse engineering, custom shellcode development, ROP gadget exploitation, and bypassing modern operating system memory mitigations.</w:t>
      </w:r>
    </w:p>
    <w:p>
      <w:pPr>
        <w:keepNext/>
        <w:spacing w:before="240" w:after="60"/>
      </w:pPr>
      <w:r>
        <w:rPr>
          <w:rFonts w:ascii="Arial" w:hAnsi="Arial"/>
          <w:b/>
          <w:color w:val="771111"/>
          <w:sz w:val="22"/>
        </w:rPr>
        <w:t>13.7 Federal Vetting, Security Clearances (TS/SCI Polygraph), and the Defense Industrial Base Pathway</w:t>
      </w:r>
    </w:p>
    <w:p>
      <w:pPr>
        <w:spacing w:after="100" w:line="276" w:lineRule="auto"/>
      </w:pPr>
      <w:r>
        <w:rPr>
          <w:rFonts w:ascii="Calibri" w:hAnsi="Calibri"/>
          <w:sz w:val="22"/>
        </w:rPr>
        <w:t>Gaining employment on sovereign offensive or classified defensive operations within intelligence agencies (NSA, CIA, DIA) or military combatant commands (USCYBERCOM) is governed by strict federal suitability standards. Operational roles require a Top Secret security clearance with access to Sensitive Compartmented Information (TS/SCI), granted following an exhaustive Single-Scope Background Investigation (SSBI) and a Counterintelligence or Full-Scope (Lifestyle) Polygraph examination.</w:t>
      </w:r>
    </w:p>
    <w:p>
      <w:pPr>
        <w:spacing w:after="100" w:line="276" w:lineRule="auto"/>
      </w:pPr>
      <w:r>
        <w:rPr>
          <w:rFonts w:ascii="Calibri" w:hAnsi="Calibri"/>
          <w:sz w:val="22"/>
        </w:rPr>
        <w:t>Federal adjudication standards evaluate security trustworthiness across strict parameters: complete financial solvency (evaluating unmanaged debts or unexplained assets that present foreign counterintelligence coercion risks), strict compliance with federal drug laws (enforcing absolute prohibition regarding controlled substances regardless of state-level decriminalization), uncompromised foreign allegiance, and an unblemished legal history. Crucially, candidates must maintain absolute personal adherence to ethical boundaries: engaging in unauthorized, illegal hacking activities against public networks generates permanent disqualification from federal security clearance eligibility. All offensive security training must be executed exclusively within authorized, self-owned lab environments or sanctioned platforms.</w:t>
      </w:r>
    </w:p>
    <w:p>
      <w:pPr>
        <w:spacing w:after="100" w:line="276" w:lineRule="auto"/>
      </w:pPr>
      <w:r>
        <w:rPr>
          <w:rFonts w:ascii="Calibri" w:hAnsi="Calibri"/>
          <w:sz w:val="22"/>
        </w:rPr>
        <w:t>For aspiring operational specialists, the Defense Industrial Base (DIB) represents the premier structural pathway into high-tier cyber warfare. Major aerospace and defense contractors—predominantly Lockheed Martin, Northrop Grumman, Raytheon Technologies, Booz Allen Hamilton, and CACI—maintain extensive cyber defense, platform engineering, and mission-support contracts for U.S. Cyber Command and intelligence directorates. These defense contractors actively sponsor qualified technical candidates for federal security clearances, provide access to classified national security platforms, and deploy engineering personnel directly into inter-agency operational centers, offering competitive commercial compensation alongside national mission impact.</w:t>
      </w:r>
    </w:p>
    <w:p>
      <w:pPr>
        <w:keepNext/>
        <w:spacing w:before="360" w:after="120"/>
      </w:pPr>
      <w:r>
        <w:rPr>
          <w:rFonts w:ascii="Arial" w:hAnsi="Arial"/>
          <w:b/>
          <w:color w:val="003366"/>
          <w:sz w:val="28"/>
        </w:rPr>
        <w:t>SECTION XIV: COUNTER-CANNON DEFENSES &amp; THE WAR OVER CRYPTOGRAPHIC TRUST</w:t>
      </w:r>
    </w:p>
    <w:p>
      <w:pPr>
        <w:keepNext/>
        <w:spacing w:before="240" w:after="60"/>
      </w:pPr>
      <w:r>
        <w:rPr>
          <w:rFonts w:ascii="Arial" w:hAnsi="Arial"/>
          <w:b/>
          <w:color w:val="771111"/>
          <w:sz w:val="22"/>
        </w:rPr>
        <w:t>14.1 Technical Defenses Against the Great Cannon: The HTTPS/TLS 1.3 Revolution, HSTS, and Subresource Integrity</w:t>
      </w:r>
    </w:p>
    <w:p>
      <w:pPr>
        <w:spacing w:after="100" w:line="276" w:lineRule="auto"/>
      </w:pPr>
      <w:r>
        <w:rPr>
          <w:rFonts w:ascii="Calibri" w:hAnsi="Calibri"/>
          <w:sz w:val="22"/>
        </w:rPr>
        <w:t>The exposure of China's Great Cannon in March 2015 catalyzed an urgent architectural transformation across the global web. The operational mechanism of the Great Cannon relied fundamentally on intercepting unencrypted HTTP traffic entering and exiting Chinese fiber-optic gateways, stripping out benign analytics code, and injecting malicious JavaScript payloads into foreign browsers in transit. Because traditional HTTP operated as plaintext, intermediary network switches could alter payload contents without detection by the client browser.</w:t>
      </w:r>
    </w:p>
    <w:p>
      <w:pPr>
        <w:spacing w:after="100" w:line="276" w:lineRule="auto"/>
      </w:pPr>
      <w:r>
        <w:rPr>
          <w:rFonts w:ascii="Calibri" w:hAnsi="Calibri"/>
          <w:sz w:val="22"/>
        </w:rPr>
        <w:t>In response, the international engineering community—led by Google, Apple, Microsoft, and Cloudflare—executed a global transition to mandatory encryption via Transport Layer Security (TLS 1.2 and TLS 1.3) under the HTTPS protocol. HTTPS establishes an encrypted, mathematically authenticated tunnel between the client browser and the destination web server. If an inline state interceptor like the Great Cannon attempts to inject unauthorized scripts into an encrypted HTTPS stream, the cryptographic checksum fails, prompting the client browser to immediately terminate the connection with an alert.</w:t>
      </w:r>
    </w:p>
    <w:p>
      <w:pPr>
        <w:spacing w:after="100" w:line="276" w:lineRule="auto"/>
      </w:pPr>
      <w:r>
        <w:rPr>
          <w:rFonts w:ascii="Calibri" w:hAnsi="Calibri"/>
          <w:sz w:val="22"/>
        </w:rPr>
        <w:t>This protection was reinforced through HTTP Strict Transport Security (HSTS) and Subresource Integrity (SRI). HSTS forces browsers to communicate exclusively over encrypted HTTPS channels, disallowing insecure HTTP fallbacks. Simultaneously, SRI allows web developers to include cryptographic base64 hashes within script tags; if an inline interceptor modifies a single byte of an external script in transit, the browser verifies the hash mismatch and refuses to execute the script, effectively neutralizing the Great Cannon's primary injection methodology across encrypted traffic.</w:t>
      </w:r>
    </w:p>
    <w:p>
      <w:pPr>
        <w:keepNext/>
        <w:spacing w:before="240" w:after="60"/>
      </w:pPr>
      <w:r>
        <w:rPr>
          <w:rFonts w:ascii="Arial" w:hAnsi="Arial"/>
          <w:b/>
          <w:color w:val="771111"/>
          <w:sz w:val="22"/>
        </w:rPr>
        <w:t>14.2 Anycast Distributed Infrastructure &amp; Kernel-Level eBPF Edge Scrubbing</w:t>
      </w:r>
    </w:p>
    <w:p>
      <w:pPr>
        <w:spacing w:after="100" w:line="276" w:lineRule="auto"/>
      </w:pPr>
      <w:r>
        <w:rPr>
          <w:rFonts w:ascii="Calibri" w:hAnsi="Calibri"/>
          <w:sz w:val="22"/>
        </w:rPr>
        <w:t>To defend critical infrastructure and target platforms against massive volumetric denial-of-service barrages generated by nation-state attacks, modern cybersecurity architectures deploy Anycast distributed networks. In traditional unicast networking, an IP address resolves to a single physical server cluster, which is rapidly overwhelmed by multi-gigabit traffic spikes. Under Anycast routing, a single public IP address is announced simultaneously across hundreds of geographically dispersed data centers globally via Border Gateway Protocol (BGP).</w:t>
      </w:r>
    </w:p>
    <w:p>
      <w:pPr>
        <w:spacing w:after="100" w:line="276" w:lineRule="auto"/>
      </w:pPr>
      <w:r>
        <w:rPr>
          <w:rFonts w:ascii="Calibri" w:hAnsi="Calibri"/>
          <w:sz w:val="22"/>
        </w:rPr>
        <w:t>When an adversary mobilizes millions of compromised browsers to flood a target, the incoming traffic is mathematically routed to the nearest regional data center (e.g., European traffic is absorbed in Frankfurt, Asian traffic in Tokyo, and American traffic in Ashburn). This architecture disperses the volumetric flood across massive global server capacity, preventing localized circuit saturation. Within these edge scrubbing centers, defense engineers deploy Extended Berkeley Packet Filter (eBPF) code directly into the Linux operating system kernel. Operating at the network interface card (NIC) driver layer via XDP (eXpress Data Path), eBPF filters drop malicious request packets in nanoseconds before they consume CPU cycles or operating system memory buffers.</w:t>
      </w:r>
    </w:p>
    <w:p>
      <w:pPr>
        <w:keepNext/>
        <w:spacing w:before="240" w:after="60"/>
      </w:pPr>
      <w:r>
        <w:rPr>
          <w:rFonts w:ascii="Arial" w:hAnsi="Arial"/>
          <w:b/>
          <w:color w:val="771111"/>
          <w:sz w:val="22"/>
        </w:rPr>
        <w:t>14.3 The CNNIC Rogue Certificate Crisis (2015): China's Attempt to Break Global HTTPS</w:t>
      </w:r>
    </w:p>
    <w:p>
      <w:pPr>
        <w:spacing w:after="100" w:line="276" w:lineRule="auto"/>
      </w:pPr>
      <w:r>
        <w:rPr>
          <w:rFonts w:ascii="Calibri" w:hAnsi="Calibri"/>
          <w:sz w:val="22"/>
        </w:rPr>
        <w:t>Recognizing that global HTTPS encryption threatened to neutralize state interception capabilities, Chinese intelligence sought to undermine the foundational trust architecture of the internet: the Public Key Infrastructure (PKI) and Certificate Authority (CA) system. Browsers determine whether an encrypted website is legitimate by verifying that its digital certificate was signed by a trusted root authority pre-installed in the operating system's root store. For years, the China Internet Network Information Center (CNNIC)—an official agency of the Chinese Ministry of Industry and Information Technology—maintained root authority status inside every major Western operating system.</w:t>
      </w:r>
    </w:p>
    <w:p>
      <w:pPr>
        <w:spacing w:after="100" w:line="276" w:lineRule="auto"/>
      </w:pPr>
      <w:r>
        <w:rPr>
          <w:rFonts w:ascii="Calibri" w:hAnsi="Calibri"/>
          <w:sz w:val="22"/>
        </w:rPr>
        <w:t>In March 2015, Google security engineers uncovered an alarming cryptographic breach: digital certificates for major Western domains, including Google and Yahoo, had been issued and cryptographically signed by an intermediate certificate authority in Egypt (MCS Holdings) that had been granted master signing permissions by CNNIC. This capability allowed Chinese state interceptors to execute transparent Man-in-the-Middle attacks on encrypted traffic: serving counterfeit certificates that browsers accepted as valid, displaying secure padlock icons while state security decrypted traffic, harvested passwords, and injected malicious code.</w:t>
      </w:r>
    </w:p>
    <w:p>
      <w:pPr>
        <w:keepNext/>
        <w:spacing w:before="240" w:after="60"/>
      </w:pPr>
      <w:r>
        <w:rPr>
          <w:rFonts w:ascii="Arial" w:hAnsi="Arial"/>
          <w:b/>
          <w:color w:val="771111"/>
          <w:sz w:val="22"/>
        </w:rPr>
        <w:t>14.4 The Silicon Valley 'Nuclear Option' and Certificate Transparency (CT) Ledgers</w:t>
      </w:r>
    </w:p>
    <w:p>
      <w:pPr>
        <w:spacing w:after="100" w:line="276" w:lineRule="auto"/>
      </w:pPr>
      <w:r>
        <w:rPr>
          <w:rFonts w:ascii="Calibri" w:hAnsi="Calibri"/>
          <w:sz w:val="22"/>
        </w:rPr>
        <w:t>The CNNIC breach prompted an unprecedented technological retaliation by Western technology titans. In an action termed the 'nuclear option' in cryptographic governance, Google Chrome, Mozilla Firefox, and Apple formally revoked and blacklisted CNNIC from their trusted root certificate stores. The move effectively expelled the Chinese government from participating in global internet cryptographic authentication, refusing to recognize certificates issued under Chinese state authority.</w:t>
      </w:r>
    </w:p>
    <w:p>
      <w:pPr>
        <w:spacing w:after="100" w:line="276" w:lineRule="auto"/>
      </w:pPr>
      <w:r>
        <w:rPr>
          <w:rFonts w:ascii="Calibri" w:hAnsi="Calibri"/>
          <w:sz w:val="22"/>
        </w:rPr>
        <w:t>To structurally prevent future rogue certificate generation by foreign state actors, Google engineered Certificate Transparency (CT). Under mandatory CT rules, web browsers reject any SSL/TLS certificate unless it has been publicly submitted to an append-only, tamper-evident cryptographic ledger monitored by independent global auditors. If a hostile government coerces a domestic certificate authority to issue a fraudulent certificate for a foreign domain, the transaction is immediately broadcast across global CT logs in real time, alerting domain owners within seconds and triggering immediate global certificate revocation before interception campaigns can be operationalized.</w:t>
      </w:r>
    </w:p>
    <w:p>
      <w:pPr>
        <w:keepNext/>
        <w:spacing w:before="240" w:after="60"/>
      </w:pPr>
      <w:r>
        <w:rPr>
          <w:rFonts w:ascii="Arial" w:hAnsi="Arial"/>
          <w:b/>
          <w:color w:val="771111"/>
          <w:sz w:val="22"/>
        </w:rPr>
        <w:t>14.5 Domestic State Root Certificates: Inside the Chinese Domestic Firewall</w:t>
      </w:r>
    </w:p>
    <w:p>
      <w:pPr>
        <w:spacing w:after="100" w:line="276" w:lineRule="auto"/>
      </w:pPr>
      <w:r>
        <w:rPr>
          <w:rFonts w:ascii="Calibri" w:hAnsi="Calibri"/>
          <w:sz w:val="22"/>
        </w:rPr>
        <w:t>While expelled from the global trust ecosystem, Beijing retained the capability to enforce domestic cryptographic surveillance inside its sovereign borders. For consumer mobile devices sold within mainland China (such as Xiaomi, Oppo, and Huawei smartphones running domestic Android variants), the Chinese government mandates that manufacturers pre-install Chinese State Root Certificates directly into the operating system firmware at the factory.</w:t>
      </w:r>
    </w:p>
    <w:p>
      <w:pPr>
        <w:spacing w:after="100" w:line="276" w:lineRule="auto"/>
      </w:pPr>
      <w:r>
        <w:rPr>
          <w:rFonts w:ascii="Calibri" w:hAnsi="Calibri"/>
          <w:sz w:val="22"/>
        </w:rPr>
        <w:t>Consequently, for hundreds of millions of domestic Chinese citizens, the protections of HTTPS are structurally neutralized. When a domestic user accesses services through local telecommunications networks, state inspection gateways can present state-signed certificates that domestic devices accept without security warnings. This dual reality illustrates the divergence of global cyberspace: an open, verified cryptographic commons defended by Western standards, contrasted with an internal authoritarian intranet where encryption is subordinate to state political control.</w:t>
      </w:r>
    </w:p>
    <w:p>
      <w:pPr>
        <w:keepNext/>
        <w:spacing w:before="360" w:after="120"/>
      </w:pPr>
      <w:r>
        <w:rPr>
          <w:rFonts w:ascii="Arial" w:hAnsi="Arial"/>
          <w:b/>
          <w:color w:val="003366"/>
          <w:sz w:val="28"/>
        </w:rPr>
        <w:t>SECTION XV: THE 5G SUPPLY CHAIN BATTLEGROUND: THE REAL REASON FOR THE HUAWEI BAN</w:t>
      </w:r>
    </w:p>
    <w:p>
      <w:pPr>
        <w:keepNext/>
        <w:spacing w:before="240" w:after="60"/>
      </w:pPr>
      <w:r>
        <w:rPr>
          <w:rFonts w:ascii="Arial" w:hAnsi="Arial"/>
          <w:b/>
          <w:color w:val="771111"/>
          <w:sz w:val="22"/>
        </w:rPr>
        <w:t>15.1 Physical Infrastructure vs. Consumer Devices: Why 5G Hardware Is the Master Switch</w:t>
      </w:r>
    </w:p>
    <w:p>
      <w:pPr>
        <w:spacing w:after="100" w:line="276" w:lineRule="auto"/>
      </w:pPr>
      <w:r>
        <w:rPr>
          <w:rFonts w:ascii="Calibri" w:hAnsi="Calibri"/>
          <w:sz w:val="22"/>
        </w:rPr>
        <w:t>The geopolitical campaign led by the United States to exclude Chinese telecommunications giant Huawei from global 5G deployments was widely mischaracterized in popular media as a commercial dispute over consumer smartphones. In national security reality, the battle centered exclusively on telecommunications infrastructure: cellular base stations, phased-array radio antennas, optical transport networks, and core packet-routing switches. Unlike legacy 3G and 4G networks, where the 'core' (the brain of the network) was physically segregated from the 'edge' (radio towers), 5G architecture decentralizes computing functions directly to the radio edge.</w:t>
      </w:r>
    </w:p>
    <w:p>
      <w:pPr>
        <w:spacing w:after="100" w:line="276" w:lineRule="auto"/>
      </w:pPr>
      <w:r>
        <w:rPr>
          <w:rFonts w:ascii="Calibri" w:hAnsi="Calibri"/>
          <w:sz w:val="22"/>
        </w:rPr>
        <w:t>Consequently, any entity that manufactures the physical 5G base stations exercises direct, root-level administrative control over data routing. 5G infrastructure underpins not merely consumer multimedia, but autonomous transportation systems, smart electrical distribution grids, municipal water telemetry, industrial robotics, and military logistics communications. Under Article 7 of China's 2017 National Intelligence Law, Chinese corporations are legally mandated to support and cooperate with state intelligence work upon request, meaning that Huawei equipment embedded in foreign networks functions as a sovereign asset of the Chinese party-state.</w:t>
      </w:r>
    </w:p>
    <w:p>
      <w:pPr>
        <w:keepNext/>
        <w:spacing w:before="240" w:after="60"/>
      </w:pPr>
      <w:r>
        <w:rPr>
          <w:rFonts w:ascii="Arial" w:hAnsi="Arial"/>
          <w:b/>
          <w:color w:val="771111"/>
          <w:sz w:val="22"/>
        </w:rPr>
        <w:t>15.2 The Malmstrom and Minot Intercepts: Cell Towers Surrounding U.S. Nuclear ICBM Silos</w:t>
      </w:r>
    </w:p>
    <w:p>
      <w:pPr>
        <w:spacing w:after="100" w:line="276" w:lineRule="auto"/>
      </w:pPr>
      <w:r>
        <w:rPr>
          <w:rFonts w:ascii="Calibri" w:hAnsi="Calibri"/>
          <w:sz w:val="22"/>
        </w:rPr>
        <w:t>The critical catalyst for decisive U.S. federal intervention was an extensive counterintelligence investigation conducted by the FBI and the Department of Defense in the late 2010s. During the expansion of commercial 4G connectivity across rural America, Huawei offered severe, state-subsidized pricing discounts—often undercutting Western competitors like Nokia and Ericsson by 30% to 50%—to rural American telecom providers in Montana, Wyoming, and Nebraska.</w:t>
      </w:r>
    </w:p>
    <w:p>
      <w:pPr>
        <w:spacing w:after="100" w:line="276" w:lineRule="auto"/>
      </w:pPr>
      <w:r>
        <w:rPr>
          <w:rFonts w:ascii="Calibri" w:hAnsi="Calibri"/>
          <w:sz w:val="22"/>
        </w:rPr>
        <w:t>Federal investigators realized that these heavily discounted Huawei cellular towers had been systematically deployed directly adjacent to U.S. Strategic Command nuclear missile installations: Malmstrom Air Force Base in Montana, Minot Air Force Base in North Dakota, and F.E. Warren Air Force Base in Wyoming, which house America's 400 Minuteman III intercontinental ballistic missile silos. Technical audits confirmed that the Chinese-manufactured cell tower equipment possessed technical capabilities to intercept, record, and disrupt restricted Department of Defense radio frequency spectrums utilized by military helicopters, base security patrols, and nuclear command-and-control links, effectively placing foreign state electronic collection points outside America's nuclear launch facilities.</w:t>
      </w:r>
    </w:p>
    <w:p>
      <w:pPr>
        <w:keepNext/>
        <w:spacing w:before="240" w:after="60"/>
      </w:pPr>
      <w:r>
        <w:rPr>
          <w:rFonts w:ascii="Arial" w:hAnsi="Arial"/>
          <w:b/>
          <w:color w:val="771111"/>
          <w:sz w:val="22"/>
        </w:rPr>
        <w:t>15.3 The Lawful Intercept Trap: Remote Administrative Backdoors Accessible from Shenzhen</w:t>
      </w:r>
    </w:p>
    <w:p>
      <w:pPr>
        <w:spacing w:after="100" w:line="276" w:lineRule="auto"/>
      </w:pPr>
      <w:r>
        <w:rPr>
          <w:rFonts w:ascii="Calibri" w:hAnsi="Calibri"/>
          <w:sz w:val="22"/>
        </w:rPr>
        <w:t>Under international telecommunications standards and the American Communications Assistance for Law Enforcement Act (CALEA), cellular infrastructure manufacturers must construct 'lawful intercept' interfaces that allow authorized domestic law enforcement agencies, operating with judicial warrants, to tap voice calls and monitor data traffic. However, in foreign equipment, this lawful intercept gateway presents a structural backdoor.</w:t>
      </w:r>
    </w:p>
    <w:p>
      <w:pPr>
        <w:spacing w:after="100" w:line="276" w:lineRule="auto"/>
      </w:pPr>
      <w:r>
        <w:rPr>
          <w:rFonts w:ascii="Calibri" w:hAnsi="Calibri"/>
          <w:sz w:val="22"/>
        </w:rPr>
        <w:t>In 2020, U.S. intelligence officials confirmed to international allies that Huawei retained secret administrative maintenance access to its telecommunications equipment globally. Firmware updates, diagnostic telemetry, and administrative patches pushed remotely by Huawei engineers in Shenzhen, China could silently repurpose lawful intercept interfaces, granting Chinese intelligence the capability to siphon foreign telecommunications traffic without the consent or knowledge of the local sovereign telecom provider.</w:t>
      </w:r>
    </w:p>
    <w:p>
      <w:pPr>
        <w:keepNext/>
        <w:spacing w:before="240" w:after="60"/>
      </w:pPr>
      <w:r>
        <w:rPr>
          <w:rFonts w:ascii="Arial" w:hAnsi="Arial"/>
          <w:b/>
          <w:color w:val="771111"/>
          <w:sz w:val="22"/>
        </w:rPr>
        <w:t>15.4 The Western Counter-Measures: 'Rip and Replace', Entity Lists, and Five Eyes Blockades</w:t>
      </w:r>
    </w:p>
    <w:p>
      <w:pPr>
        <w:spacing w:after="100" w:line="276" w:lineRule="auto"/>
      </w:pPr>
      <w:r>
        <w:rPr>
          <w:rFonts w:ascii="Calibri" w:hAnsi="Calibri"/>
          <w:sz w:val="22"/>
        </w:rPr>
        <w:t>Recognizing the systemic vulnerability, the United States executed a comprehensive industrial and diplomatic counter-offensive. Domestically, the Federal Communications Commission (FCC) prohibited the certification of new Huawei and ZTE equipment and launched the multi-billion-dollar Secure and Trusted Communications Networks Reimbursement Program ('Rip and Replace'), funding the physical removal and destruction of Chinese telecom hardware from American towers, replacing it with trusted Western equipment.</w:t>
      </w:r>
    </w:p>
    <w:p>
      <w:pPr>
        <w:spacing w:after="100" w:line="276" w:lineRule="auto"/>
      </w:pPr>
      <w:r>
        <w:rPr>
          <w:rFonts w:ascii="Calibri" w:hAnsi="Calibri"/>
          <w:sz w:val="22"/>
        </w:rPr>
        <w:t>Internationally, Washington issued diplomatic ultimatums across the 'Five Eyes' intelligence alliance (the UK, Australia, Canada, New Zealand, and the U.S.), warning that classified military and satellite intelligence sharing would be restricted with any partner permitting Chinese hardware in national 5G cores. Australia and New Zealand instituted comprehensive bans, followed by the United Kingdom and Canada. Simultaneously, the U.S. Department of Commerce placed Huawei on the foreign Entity List, prohibiting American firms from selling microchips, software tools, and design software to Huawei, while barring foreign foundries (like Taiwan's TSMC) from manufacturing high-end silicon for the Chinese firm, severely constraining Huawei's global hardware competitiveness.</w:t>
      </w:r>
    </w:p>
    <w:p>
      <w:pPr>
        <w:keepNext/>
        <w:spacing w:before="360" w:after="120"/>
      </w:pPr>
      <w:r>
        <w:rPr>
          <w:rFonts w:ascii="Arial" w:hAnsi="Arial"/>
          <w:b/>
          <w:color w:val="003366"/>
          <w:sz w:val="28"/>
        </w:rPr>
        <w:t>SECTION XVI: THE AFRICAN DIGITAL FRONT &amp; THE COLLAPSE OF PREDATORY STATECRAFT</w:t>
      </w:r>
    </w:p>
    <w:p>
      <w:pPr>
        <w:keepNext/>
        <w:spacing w:before="240" w:after="60"/>
      </w:pPr>
      <w:r>
        <w:rPr>
          <w:rFonts w:ascii="Arial" w:hAnsi="Arial"/>
          <w:b/>
          <w:color w:val="771111"/>
          <w:sz w:val="22"/>
        </w:rPr>
        <w:t>16.1 The African Union Headquarters Espionage: Five Years of Covert Data Drains</w:t>
      </w:r>
    </w:p>
    <w:p>
      <w:pPr>
        <w:spacing w:after="100" w:line="276" w:lineRule="auto"/>
      </w:pPr>
      <w:r>
        <w:rPr>
          <w:rFonts w:ascii="Calibri" w:hAnsi="Calibri"/>
          <w:sz w:val="22"/>
        </w:rPr>
        <w:t>The operational reality of China's telecommunications infrastructure export was definitively exposed in January 2018 by an investigative report in France's Le Monde. In 2012, Beijing financed and constructed the $200 million African Union (AU) headquarters complex in Addis Ababa, Ethiopia, presenting the facility as a diplomatic gift of South-South solidarity. Chinese state-linked firm Huawei was awarded the prime contract to install the building's digital network servers, communications cabling, and desktop workstations.</w:t>
      </w:r>
    </w:p>
    <w:p>
      <w:pPr>
        <w:spacing w:after="100" w:line="276" w:lineRule="auto"/>
      </w:pPr>
      <w:r>
        <w:rPr>
          <w:rFonts w:ascii="Calibri" w:hAnsi="Calibri"/>
          <w:sz w:val="22"/>
        </w:rPr>
        <w:t>In early 2017, AU technical personnel discovered anomalous network behavior: every night between midnight and 2:00 AM, the building's internet bandwidth surged while the facility was vacant. Forensic investigations revealed that for five consecutive years, confidential administrative memos, intelligence assessments, and diplomatic communications had been cloned and transmitted to servers based in Shanghai, China. Subsequent physical counter-surveillance sweeps uncovered miniature electronic microphones and listening devices embedded within the conference tables and structural walls of the diplomatic chambers, exposing the building as an instrument of state espionage.</w:t>
      </w:r>
    </w:p>
    <w:p>
      <w:pPr>
        <w:keepNext/>
        <w:spacing w:before="240" w:after="60"/>
      </w:pPr>
      <w:r>
        <w:rPr>
          <w:rFonts w:ascii="Arial" w:hAnsi="Arial"/>
          <w:b/>
          <w:color w:val="771111"/>
          <w:sz w:val="22"/>
        </w:rPr>
        <w:t>16.2 Political Surveillance in the Field: Huawei Technicians in Uganda and Zambia</w:t>
      </w:r>
    </w:p>
    <w:p>
      <w:pPr>
        <w:spacing w:after="100" w:line="276" w:lineRule="auto"/>
      </w:pPr>
      <w:r>
        <w:rPr>
          <w:rFonts w:ascii="Calibri" w:hAnsi="Calibri"/>
          <w:sz w:val="22"/>
        </w:rPr>
        <w:t>The deployment of Chinese telecommunications technology in Africa has directly facilitated the suppression of democratic opposition. A comprehensive 2019 investigation by The Wall Street Journal documented that Huawei technical personnel stationed in Uganda and Zambia directly assisted ruling authoritarian regimes in intercepting the encrypted communications and tracking the physical movements of political opponents.</w:t>
      </w:r>
    </w:p>
    <w:p>
      <w:pPr>
        <w:spacing w:after="100" w:line="276" w:lineRule="auto"/>
      </w:pPr>
      <w:r>
        <w:rPr>
          <w:rFonts w:ascii="Calibri" w:hAnsi="Calibri"/>
          <w:sz w:val="22"/>
        </w:rPr>
        <w:t>In Uganda, Huawei engineers embedded within the cyber division of the national police headquarters utilized network access to crack the encrypted communications of prominent opposition figure Bobi Wine, pinpointing his real-time cellular location to facilitate his physical arrest alongside dozens of political supporters. In Zambia, Huawei technicians embedded within the government telecommunications agency identified and unmasked the IP addresses and private social media identities of independent anti-corruption journalists who criticized Chinese bilateral mining concessions, leading to their subsequent arrest by national security forces.</w:t>
      </w:r>
    </w:p>
    <w:p>
      <w:pPr>
        <w:keepNext/>
        <w:spacing w:before="240" w:after="60"/>
      </w:pPr>
      <w:r>
        <w:rPr>
          <w:rFonts w:ascii="Arial" w:hAnsi="Arial"/>
          <w:b/>
          <w:color w:val="771111"/>
          <w:sz w:val="22"/>
        </w:rPr>
        <w:t>16.3 The Digital Silk Road: Constructing an Extraterritorial Panopticon</w:t>
      </w:r>
    </w:p>
    <w:p>
      <w:pPr>
        <w:spacing w:after="100" w:line="276" w:lineRule="auto"/>
      </w:pPr>
      <w:r>
        <w:rPr>
          <w:rFonts w:ascii="Calibri" w:hAnsi="Calibri"/>
          <w:sz w:val="22"/>
        </w:rPr>
        <w:t>Under the 'Digital Silk Road' component of the Belt and Road Initiative, Chinese state enterprises constructed roughly 70% to 80% of Africa's entire 3G and 4G wireless infrastructure, installed extensive trans-continental terrestrial fiber-optic cables, and established sovereign data centers across dozens of African capitals. Chinese consumer electronics firms (such as Shenzhen-based Transsion, manufacturer of Tecno, Infinix, and Itel brands) achieved dominant market share across the continent.</w:t>
      </w:r>
    </w:p>
    <w:p>
      <w:pPr>
        <w:spacing w:after="100" w:line="276" w:lineRule="auto"/>
      </w:pPr>
      <w:r>
        <w:rPr>
          <w:rFonts w:ascii="Calibri" w:hAnsi="Calibri"/>
          <w:sz w:val="22"/>
        </w:rPr>
        <w:t>This structural footprint created systemic intelligence leverage. By controlling the physical towers, data routing centers, and handheld consumer devices, Beijing established an extraterritorial surveillance capacity across the African continent. This architecture granted Chinese state intelligence visibility into regional financial transactions, mineral extraction logistics, and high-level bilateral diplomatic negotiations, creating dependencies that complicated African foreign policy autonomy.</w:t>
      </w:r>
    </w:p>
    <w:p>
      <w:pPr>
        <w:keepNext/>
        <w:spacing w:before="240" w:after="60"/>
      </w:pPr>
      <w:r>
        <w:rPr>
          <w:rFonts w:ascii="Arial" w:hAnsi="Arial"/>
          <w:b/>
          <w:color w:val="771111"/>
          <w:sz w:val="22"/>
        </w:rPr>
        <w:t>16.4 The Structural Collapse of Debt-Trap Imperialism: When African Democracy Overturns Dictator Pacts</w:t>
      </w:r>
    </w:p>
    <w:p>
      <w:pPr>
        <w:spacing w:after="100" w:line="276" w:lineRule="auto"/>
      </w:pPr>
      <w:r>
        <w:rPr>
          <w:rFonts w:ascii="Calibri" w:hAnsi="Calibri"/>
          <w:sz w:val="22"/>
        </w:rPr>
        <w:t>China's multi-decade strategic investment across Africa is entering an era of severe structural vulnerability driven by a foundational political flaw: Beijing negotiated opaque bilateral agreements with individual, aging autocrats rather than engaging with sovereign populations. Under Chinese 'non-interference' diplomacy, Chinese state policy banks disbursed billions in confidential infrastructure loans directly to ruling elites without public legislative scrutiny, providing kickbacks that enriched autocratic families while burdening host nations with unsustainable debt.</w:t>
      </w:r>
    </w:p>
    <w:p>
      <w:pPr>
        <w:spacing w:after="100" w:line="276" w:lineRule="auto"/>
      </w:pPr>
      <w:r>
        <w:rPr>
          <w:rFonts w:ascii="Calibri" w:hAnsi="Calibri"/>
          <w:sz w:val="22"/>
        </w:rPr>
        <w:t>However, dictators are politically mortal. As economic conditions deteriorate and youth populations mobilize, African nations are undergoing democratic transitions. Newly elected reformist administrations view opaque agreements signed by corrupt predecessors as unconstitutional transactions. When reformist governments take office, they exercise sovereign legal authority to audit fraudulent contracts, renegotiate concession terms, or nationalize critical assets, exposing China's bilateral debt portfolio to mass sovereign default and asset repudiation.</w:t>
      </w:r>
    </w:p>
    <w:p>
      <w:pPr>
        <w:keepNext/>
        <w:spacing w:before="240" w:after="60"/>
      </w:pPr>
      <w:r>
        <w:rPr>
          <w:rFonts w:ascii="Arial" w:hAnsi="Arial"/>
          <w:b/>
          <w:color w:val="771111"/>
          <w:sz w:val="22"/>
        </w:rPr>
        <w:t>16.5 Case Studies in Sovereign Repudiation: DRC, Zambia, and Tanzania</w:t>
      </w:r>
    </w:p>
    <w:p>
      <w:pPr>
        <w:spacing w:after="100" w:line="276" w:lineRule="auto"/>
      </w:pPr>
      <w:r>
        <w:rPr>
          <w:rFonts w:ascii="Calibri" w:hAnsi="Calibri"/>
          <w:sz w:val="22"/>
        </w:rPr>
        <w:t>This dynamic of sovereign reassertion is actively transforming African statecraft. In the Democratic Republic of the Congo, President Félix Tshisekedi ordered a comprehensive audit of the $6 billion 2008 'Sicomines' minerals-for-infrastructure deal signed under corrupt former President Joseph Kabila. The state audit revealed that Chinese state mining firms had extracted over $10 billion in valuable copper and cobalt while completing less than $1 billion in low-quality infrastructure. Confronted with the threat of state mining concession revocations, Beijing was compelled in 2024 to renegotiate the pact, conceding an additional $2 billion in direct infrastructure funding to preserve operational access.</w:t>
      </w:r>
    </w:p>
    <w:p>
      <w:pPr>
        <w:spacing w:after="100" w:line="276" w:lineRule="auto"/>
      </w:pPr>
      <w:r>
        <w:rPr>
          <w:rFonts w:ascii="Calibri" w:hAnsi="Calibri"/>
          <w:sz w:val="22"/>
        </w:rPr>
        <w:t>Similarly, in Zambia, the landslide 2021 election of President Hakainde Hichilema brought an immediate halt to opaque borrowing, forcing Chinese state banks to participate in multilateral debt restructuring alongside the IMF. In Tanzania, the late President John Magufuli canceled the $10 billion Bagamoyo Port project signed by his predecessor, publicly condemning Beijing's demand for a 99-year sovereign lease and restrictions on Tanzanian regulatory audits as terms that 'only a madman would accept.' These precedents demonstrate that sovereign African states are systematically dismantling predatory colonial contracts.</w:t>
      </w:r>
    </w:p>
    <w:p>
      <w:pPr>
        <w:keepNext/>
        <w:spacing w:before="240" w:after="60"/>
      </w:pPr>
      <w:r>
        <w:rPr>
          <w:rFonts w:ascii="Arial" w:hAnsi="Arial"/>
          <w:b/>
          <w:color w:val="771111"/>
          <w:sz w:val="22"/>
        </w:rPr>
        <w:t>16.6 The Enforcement Deficit and Demographic Divergence</w:t>
      </w:r>
    </w:p>
    <w:p>
      <w:pPr>
        <w:spacing w:after="100" w:line="276" w:lineRule="auto"/>
      </w:pPr>
      <w:r>
        <w:rPr>
          <w:rFonts w:ascii="Calibri" w:hAnsi="Calibri"/>
          <w:sz w:val="22"/>
        </w:rPr>
        <w:t>The ultimate crisis confronting Beijing's African strategy is the profound asymmetry between commercial exposure and military enforcement capability. Historically, European imperial powers enforced debt and resource concessions through naval gunboat diplomacy and colonial garrisons. China possesses no comparable power projection capability in Africa; the People's Liberation Army Navy cannot deploy carrier strike groups to the South Atlantic or operate expeditionary forces in the African interior to enforce debt defaults or protect seized mines.</w:t>
      </w:r>
    </w:p>
    <w:p>
      <w:pPr>
        <w:spacing w:after="100" w:line="276" w:lineRule="auto"/>
      </w:pPr>
      <w:r>
        <w:rPr>
          <w:rFonts w:ascii="Calibri" w:hAnsi="Calibri"/>
          <w:sz w:val="22"/>
        </w:rPr>
        <w:t>Furthermore, global demographics favor sovereign African self-determination over Chinese mercantilism. Africa represents the youngest continent on Earth, with a median age of 19 years and a population projected to reach 2.5 billion by 2050 (one-quarter of humanity). This emerging generation is digitally connected, politically engaged, and protective of national sovereignty. In contrast, China is entering rapid demographic contraction, with a rapidly aging society and mounting domestic debt distress. China cannot sustain multi-billion-dollar foreign subsidies or enforce predatory contracts against an emerging continent of young, sovereign democracies, ensuring that the 21st century in Africa will be defined by self-determined independence rather than Chinese neo-colonialism.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