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20" w:before="120"/>
        <w:jc w:val="center"/>
      </w:pPr>
      <w:r>
        <w:drawing>
          <wp:inline distT="0" distB="0" distL="0" distR="0">
            <wp:extent cx="3619500" cy="1209675"/>
            <wp:effectExtent t="0" r="0" b="0" l="0"/>
            <wp:docPr id="1" name="Logo Avalia" descr="Logo Avalia" title="Logo Av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b/>
          <w:bCs/>
          <w:color w:val="0F172A"/>
          <w:sz w:val="56"/>
          <w:szCs w:val="56"/>
        </w:rPr>
        <w:t xml:space="preserve">Guía de estilo</w:t>
      </w:r>
    </w:p>
    <w:p>
      <w:pPr>
        <w:jc w:val="center"/>
      </w:pPr>
      <w:r>
        <w:rPr>
          <w:color w:val="64748B"/>
          <w:sz w:val="26"/>
          <w:szCs w:val="26"/>
        </w:rPr>
        <w:t xml:space="preserve">Sistema de valuación automatizada de inmuebles</w:t>
      </w:r>
    </w:p>
    <w:p>
      <w:pPr>
        <w:spacing w:before="480"/>
        <w:jc w:val="center"/>
      </w:pPr>
      <w:r>
        <w:rPr>
          <w:color w:val="0F172A"/>
          <w:sz w:val="22"/>
          <w:szCs w:val="22"/>
        </w:rPr>
        <w:t xml:space="preserve">Práctica 2.2 · Desarrollo Web Integral</w:t>
      </w:r>
    </w:p>
    <w:p>
      <w:pPr>
        <w:jc w:val="center"/>
      </w:pPr>
      <w:r>
        <w:rPr>
          <w:color w:val="64748B"/>
          <w:sz w:val="22"/>
          <w:szCs w:val="22"/>
        </w:rPr>
        <w:t xml:space="preserve">Antonio Noriega · junio 2026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t xml:space="preserve">Esta guía define el sistema visual de Avalia, la aplicación web de valuación automatizada de inmuebles. Su objetivo es mantener una identidad coherente en todas las pantallas, materiales y canales: logotipo, color, tipografía, iconografía, retícula, componentes y tratamiento de imágenes.</w:t>
      </w:r>
    </w:p>
    <w:p>
      <w:pPr>
        <w:spacing w:after="120"/>
      </w:pPr>
      <w:r>
        <w:t xml:space="preserve">La paleta de esta guía coincide con la del logotipo definido en la Práctica 2.1: el azul de confianza, el verde de valor y el ámbar de acento son los mismos que componen el monograma. Además, el verde, el ámbar y el rojo cumplen una función dentro del producto: codifican el nivel de confianza de cada valuación (alta, media y baja).</w:t>
      </w:r>
    </w:p>
    <w:p>
      <w:pPr>
        <w:pStyle w:val="Heading1"/>
      </w:pPr>
      <w:r>
        <w:t xml:space="preserve">2. Logotipo y variaciones</w:t>
      </w:r>
    </w:p>
    <w:p>
      <w:pPr>
        <w:spacing w:after="120"/>
      </w:pPr>
      <w:r>
        <w:t xml:space="preserve">El logotipo es un monograma de la letra "A" cuyo vértice forma un tejado, con una ventana ámbar. Lee simultáneamente como inicial de Avalia y como casa, reforzando el dominio inmobiliario.</w:t>
      </w:r>
    </w:p>
    <w:p>
      <w:pPr>
        <w:pStyle w:val="Heading2"/>
      </w:pPr>
      <w:r>
        <w:t xml:space="preserve">Versión principal</w:t>
      </w:r>
    </w:p>
    <w:p>
      <w:pPr>
        <w:spacing w:after="120" w:before="120"/>
        <w:jc w:val="center"/>
      </w:pPr>
      <w:r>
        <w:drawing>
          <wp:inline distT="0" distB="0" distL="0" distR="0">
            <wp:extent cx="4381500" cy="1457325"/>
            <wp:effectExtent t="0" r="0" b="0" l="0"/>
            <wp:docPr id="1" name="Logo principal a color" descr="Logo principal a color" title="Logo principal a 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Variaciones</w:t>
      </w:r>
    </w:p>
    <w:p>
      <w:pPr>
        <w:spacing w:after="120"/>
      </w:pPr>
      <w:r>
        <w:t xml:space="preserve">Usar la versión que ofrezca mejor contraste según el fondo. El ícono solo se reserva para avatar, favicon y espacios reducidos.</w:t>
      </w:r>
    </w:p>
    <w:p>
      <w:pPr>
        <w:spacing w:after="120" w:before="120"/>
        <w:jc w:val="center"/>
      </w:pPr>
      <w:r>
        <w:drawing>
          <wp:inline distT="0" distB="0" distL="0" distR="0">
            <wp:extent cx="4381500" cy="1457325"/>
            <wp:effectExtent t="0" r="0" b="0" l="0"/>
            <wp:docPr id="1" name="Logo en versión inversa" descr="Logo en versión inversa" title="Logo en versión inver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distT="0" distB="0" distL="0" distR="0">
            <wp:extent cx="2857500" cy="952500"/>
            <wp:effectExtent t="0" r="0" b="0" l="0"/>
            <wp:docPr id="1" name="mono" descr="Logo monocromo" title="m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distT="0" distB="0" distL="0" distR="0">
            <wp:extent cx="952500" cy="952500"/>
            <wp:effectExtent t="0" r="0" b="0" l="0"/>
            <wp:docPr id="1" name="icono" descr="Ícono" title="ic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Reglas de uso</w:t>
      </w:r>
    </w:p>
    <w:p>
      <w:pPr>
        <w:pStyle w:val="ListParagraph"/>
        <w:numPr>
          <w:ilvl w:val="0"/>
          <w:numId w:val="2"/>
        </w:numPr>
      </w:pPr>
      <w:r>
        <w:t xml:space="preserve">Respetar un área de protección alrededor del logo equivalente a la altura de la ventana del ícono.</w:t>
      </w:r>
    </w:p>
    <w:p>
      <w:pPr>
        <w:pStyle w:val="ListParagraph"/>
        <w:numPr>
          <w:ilvl w:val="0"/>
          <w:numId w:val="2"/>
        </w:numPr>
      </w:pPr>
      <w:r>
        <w:t xml:space="preserve">Tamaño mínimo del lockup: 24 px de alto; del ícono solo: 16 px.</w:t>
      </w:r>
    </w:p>
    <w:p>
      <w:pPr>
        <w:pStyle w:val="ListParagraph"/>
        <w:numPr>
          <w:ilvl w:val="0"/>
          <w:numId w:val="2"/>
        </w:numPr>
      </w:pPr>
      <w:r>
        <w:t xml:space="preserve">No deformar, rotar, ni cambiar los colores del logo.</w:t>
      </w:r>
    </w:p>
    <w:p>
      <w:pPr>
        <w:pStyle w:val="ListParagraph"/>
        <w:numPr>
          <w:ilvl w:val="0"/>
          <w:numId w:val="2"/>
        </w:numPr>
      </w:pPr>
      <w:r>
        <w:t xml:space="preserve">No colocar el logo a color sobre fondos saturados: usar la versión inversa o monocroma.</w:t>
      </w:r>
    </w:p>
    <w:p>
      <w:pPr>
        <w:pStyle w:val="Heading1"/>
      </w:pPr>
      <w:r>
        <w:t xml:space="preserve">3. Paleta de colores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Paleta de colores" descr="Paleta de colores" title="Paleta de col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2160"/>
        <w:gridCol w:w="25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Uso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Azul confianza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#1E4D8C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rgb(30,77,140)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Primario, navbar, enlaces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E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Verde valor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#2E9E6B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rgb(46,158,107)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Acciones, confianza alta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A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Ámbar acento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#F2A93B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rgb(242,169,59)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CTA, confianza media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57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Rojo alerta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#E2574C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rgb(226,87,76)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Errores, confianza baja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Tinta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#0F172A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rgb(15,23,42)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Texto principal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74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Gris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#64748B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rgb(100,116,139)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Texto secundario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Fondo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#F8FAFC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rgb(248,250,252)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Fondo de página</w:t>
            </w:r>
          </w:p>
        </w:tc>
      </w:tr>
    </w:tbl>
    <w:p>
      <w:pPr>
        <w:pStyle w:val="Heading1"/>
      </w:pPr>
      <w:r>
        <w:t xml:space="preserve">4. Tipografías</w:t>
      </w:r>
    </w:p>
    <w:p>
      <w:pPr>
        <w:spacing w:after="120"/>
      </w:pPr>
      <w:r>
        <w:t xml:space="preserve">Poppins SemiBold para display y wordmark; Inter para texto y UI. Solo se usan dos pesos: 400 (regular) y 600 (semibold). Alternativas web seguras: Segoe UI y system-ui.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Tipografías" descr="Tipografías" title="Tipografí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Iconografía</w:t>
      </w:r>
    </w:p>
    <w:p>
      <w:pPr>
        <w:spacing w:after="120"/>
      </w:pPr>
      <w:r>
        <w:t xml:space="preserve">Iconos de estilo lineal (outline), trazo 2 px, esquinas redondeadas. Base recomendada: Heroicons. Se pintan en tinta o azul de marca; nunca rellenos sólidos de color.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Iconografía" descr="Iconografía" title="Iconograf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6. Retícula y layout</w:t>
      </w:r>
    </w:p>
    <w:p>
      <w:pPr>
        <w:spacing w:after="120"/>
      </w:pPr>
      <w:r>
        <w:t xml:space="preserve">Retícula de 12 columnas con medianil de 24 px y contenedor máximo de 1200 px. El espaciado sigue una escala de múltiplos de 8 px y los radios de esquina van de 4 a 16 px.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190875"/>
            <wp:effectExtent t="0" r="0" b="0" l="0"/>
            <wp:docPr id="1" name="Retícula y layout" descr="Retícula y layout" title="Retícula y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7. Componentes UI</w:t>
      </w:r>
    </w:p>
    <w:p>
      <w:pPr>
        <w:spacing w:after="120"/>
      </w:pPr>
      <w:r>
        <w:t xml:space="preserve">Componentes base de la aplicación. Los badges de confianza reutilizan el semáforo de la paleta para que el usuario interprete el resultado de un vistazo.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Componentes UI" descr="Componentes UI" title="Componentes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8. Estilo de imágenes</w:t>
      </w:r>
    </w:p>
    <w:p>
      <w:pPr>
        <w:spacing w:after="120"/>
      </w:pPr>
      <w:r>
        <w:t xml:space="preserve">Fotografía real de inmuebles con luz natural y encuadres limpios. Para titulares sobre imagen se aplica un overlay de tinta. Evitar filtros saturados, colores ajenos a la marca y stock genérico de oficina.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543175"/>
            <wp:effectExtent t="0" r="0" b="0" l="0"/>
            <wp:docPr id="1" name="Estilo de imágenes" descr="Estilo de imágenes" title="Estilo de imáge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i/>
          <w:iCs/>
          <w:color w:val="64748B"/>
        </w:rPr>
        <w:t xml:space="preserve">Nota de la práctica: el archivo final lo sube únicamente el Product Owner.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Página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Avalia · Guía de estilo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4D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23382aa7230879338f5d081ee4ef0c74c2b077.png"/><Relationship Id="rId10" Type="http://schemas.openxmlformats.org/officeDocument/2006/relationships/image" Target="media/c236cb98065f0b162602c607cb83b888fddc498c.png"/><Relationship Id="rId11" Type="http://schemas.openxmlformats.org/officeDocument/2006/relationships/image" Target="media/12547c92891ffadf0a8d2d12666c98378b649451.png"/><Relationship Id="rId12" Type="http://schemas.openxmlformats.org/officeDocument/2006/relationships/image" Target="media/f46f7f2c720bf8f8f83e95e12efc8b562a63931f.png"/><Relationship Id="rId13" Type="http://schemas.openxmlformats.org/officeDocument/2006/relationships/image" Target="media/b5738e715e636f5f014d9b11beb0bf8a6dc642a3.png"/><Relationship Id="rId14" Type="http://schemas.openxmlformats.org/officeDocument/2006/relationships/image" Target="media/5957ceb24ca07b843b73e3635bc5ec37e76ae534.png"/><Relationship Id="rId15" Type="http://schemas.openxmlformats.org/officeDocument/2006/relationships/image" Target="media/75ebc4f6538ea31017010ea8e3151d7d633e6eb0.png"/><Relationship Id="rId16" Type="http://schemas.openxmlformats.org/officeDocument/2006/relationships/image" Target="media/7b80eabfe7dc549396cddd62ee1a10ab48b27839.png"/><Relationship Id="rId17" Type="http://schemas.openxmlformats.org/officeDocument/2006/relationships/image" Target="media/2142de35c04048c2a3dfa6b4e54d33f57b1d4fdc.png"/><Relationship Id="rId18" Type="http://schemas.openxmlformats.org/officeDocument/2006/relationships/image" Target="media/a2e2a63ea5c1362c2d1d9d8b8f2b246d0788b935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estilo — Avalia</dc:title>
  <dc:creator>Antonio Noriega</dc:creator>
  <cp:lastModifiedBy>Un-named</cp:lastModifiedBy>
  <cp:revision>1</cp:revision>
  <dcterms:created xsi:type="dcterms:W3CDTF">2026-06-12T22:51:35.662Z</dcterms:created>
  <dcterms:modified xsi:type="dcterms:W3CDTF">2026-06-12T22:51:35.662Z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