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anti-piracy system generates recipient-associated distinguishable versions of audio-video content. A reference version is produced according to a structured list of edit instructions identifying source cameras and camera-cut time codes. Mate versions vary selected camera-cut timings while retaining the same ordered camera transitions. The reference and mate versions are segmented into chunks, and manifest files select recipient-associated combinations of those chunks. A ledger associates delivered manifest files with recipients. For suspected unauthorized content, camera-cut time codes are detected and used to build a reconstructed manifest file representing a detected combination of camera-cut timings. The ledger is searched for a delivered manifest file representing the same detected combination to identify the associated recipient.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Alessandro Steinfl</dc:creator>
  <cp:lastModifiedBy>Alessandro Steinfl</cp:lastModifiedBy>
  <cp:revision>1</cp:revision>
  <dcterms:created xsi:type="dcterms:W3CDTF">2026-08-04T16:26:23.955Z</dcterms:created>
  <dcterms:modified xsi:type="dcterms:W3CDTF">2026-08-04T16:26:23.958Z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