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07FA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</w:pPr>
      <w:proofErr w:type="spellStart"/>
      <w:r w:rsidRPr="000D24E1"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  <w:t>Pierre</w:t>
      </w:r>
      <w:proofErr w:type="spellEnd"/>
      <w:r w:rsidRPr="000D24E1"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  <w:t>Gasly</w:t>
      </w:r>
      <w:proofErr w:type="spellEnd"/>
    </w:p>
    <w:p w14:paraId="6E1C55C5" w14:textId="77777777" w:rsidR="000D24E1" w:rsidRDefault="000D24E1" w:rsidP="000D2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 w:eastAsia="el-GR"/>
          <w14:ligatures w14:val="none"/>
        </w:rPr>
      </w:pPr>
    </w:p>
    <w:p w14:paraId="2852E5D7" w14:textId="6AC04B79" w:rsidR="000D24E1" w:rsidRPr="000D24E1" w:rsidRDefault="000D24E1" w:rsidP="000D2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 w:eastAsia="el-GR"/>
          <w14:ligatures w14:val="none"/>
        </w:rPr>
      </w:pPr>
      <w:r w:rsidRPr="000D24E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l-GR" w:eastAsia="el-GR"/>
          <w14:ligatures w14:val="none"/>
        </w:rPr>
        <w:drawing>
          <wp:inline distT="0" distB="0" distL="0" distR="0" wp14:anchorId="3B66B7DF" wp14:editId="7AFC9AE0">
            <wp:extent cx="1908313" cy="1908313"/>
            <wp:effectExtent l="0" t="0" r="0" b="0"/>
            <wp:docPr id="1012538997" name="Picture 3" descr="Pierre Gas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rre Gasl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296" cy="191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4E1">
        <w:rPr>
          <w:rFonts w:ascii="Arial" w:eastAsia="Times New Roman" w:hAnsi="Arial" w:cs="Arial"/>
          <w:noProof/>
          <w:color w:val="000000"/>
          <w:kern w:val="0"/>
          <w:sz w:val="27"/>
          <w:szCs w:val="27"/>
          <w:lang w:val="el-GR" w:eastAsia="el-GR"/>
          <w14:ligatures w14:val="none"/>
        </w:rPr>
        <w:drawing>
          <wp:inline distT="0" distB="0" distL="0" distR="0" wp14:anchorId="7211BD52" wp14:editId="7184A558">
            <wp:extent cx="1574358" cy="1049572"/>
            <wp:effectExtent l="0" t="0" r="0" b="0"/>
            <wp:docPr id="1691408258" name="Picture 1" descr="Pierre Gas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erre Gas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61" cy="105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4E1">
        <w:rPr>
          <w:rFonts w:ascii="FormulaOne" w:eastAsia="Times New Roman" w:hAnsi="FormulaOne" w:cs="Times New Roman"/>
          <w:noProof/>
          <w:kern w:val="0"/>
          <w:sz w:val="24"/>
          <w:szCs w:val="24"/>
          <w:lang w:val="el-GR" w:eastAsia="el-GR"/>
          <w14:ligatures w14:val="none"/>
        </w:rPr>
        <w:drawing>
          <wp:inline distT="0" distB="0" distL="0" distR="0" wp14:anchorId="11F1B72D" wp14:editId="010CFFDC">
            <wp:extent cx="1963972" cy="1104961"/>
            <wp:effectExtent l="0" t="0" r="0" b="0"/>
            <wp:docPr id="196454275" name="Picture 2" descr="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42" cy="111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21C1" w14:textId="36AA1FDC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FormulaOne" w:eastAsia="Times New Roman" w:hAnsi="FormulaOne" w:cs="Times New Roman"/>
          <w:kern w:val="0"/>
          <w:sz w:val="24"/>
          <w:szCs w:val="24"/>
          <w:lang w:val="el-GR" w:eastAsia="el-GR"/>
          <w14:ligatures w14:val="none"/>
        </w:rPr>
      </w:pPr>
      <w:r w:rsidRPr="000D24E1">
        <w:rPr>
          <w:rFonts w:ascii="FormulaOne" w:eastAsia="Times New Roman" w:hAnsi="FormulaOne" w:cs="Times New Roman"/>
          <w:kern w:val="0"/>
          <w:sz w:val="24"/>
          <w:szCs w:val="24"/>
          <w:lang w:val="el-GR" w:eastAsia="el-GR"/>
          <w14:ligatures w14:val="none"/>
        </w:rPr>
        <w:t>10</w:t>
      </w:r>
    </w:p>
    <w:p w14:paraId="07B28952" w14:textId="546EB1E4" w:rsidR="000D24E1" w:rsidRPr="000D24E1" w:rsidRDefault="000D24E1" w:rsidP="000D24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l-GR" w:eastAsia="el-GR"/>
          <w14:ligatures w14:val="none"/>
        </w:rPr>
      </w:pPr>
    </w:p>
    <w:p w14:paraId="674AD080" w14:textId="77777777" w:rsidR="000D24E1" w:rsidRPr="000D24E1" w:rsidRDefault="000D24E1" w:rsidP="000D24E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hyperlink r:id="rId10" w:tgtFrame="_self" w:history="1">
        <w:r w:rsidRPr="000D24E1">
          <w:rPr>
            <w:rFonts w:ascii="Titillium" w:eastAsia="Times New Roman" w:hAnsi="Titillium" w:cs="Arial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:lang w:val="el-GR" w:eastAsia="el-GR"/>
            <w14:ligatures w14:val="none"/>
          </w:rPr>
          <w:t xml:space="preserve">Official </w:t>
        </w:r>
        <w:proofErr w:type="spellStart"/>
        <w:r w:rsidRPr="000D24E1">
          <w:rPr>
            <w:rFonts w:ascii="Titillium" w:eastAsia="Times New Roman" w:hAnsi="Titillium" w:cs="Arial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:lang w:val="el-GR" w:eastAsia="el-GR"/>
            <w14:ligatures w14:val="none"/>
          </w:rPr>
          <w:t>merchandise</w:t>
        </w:r>
        <w:proofErr w:type="spellEnd"/>
      </w:hyperlink>
    </w:p>
    <w:p w14:paraId="3C2DA3CE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</w:p>
    <w:p w14:paraId="3DF1DF7E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Alpine</w:t>
      </w:r>
      <w:proofErr w:type="spellEnd"/>
    </w:p>
    <w:p w14:paraId="0317AD75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Country</w:t>
      </w:r>
      <w:proofErr w:type="spellEnd"/>
    </w:p>
    <w:p w14:paraId="3E661C53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France</w:t>
      </w:r>
      <w:proofErr w:type="spellEnd"/>
    </w:p>
    <w:p w14:paraId="6E59662E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Podiums</w:t>
      </w:r>
      <w:proofErr w:type="spellEnd"/>
    </w:p>
    <w:p w14:paraId="76B1F53C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4</w:t>
      </w:r>
    </w:p>
    <w:p w14:paraId="2419E8D3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Points</w:t>
      </w:r>
      <w:proofErr w:type="spellEnd"/>
    </w:p>
    <w:p w14:paraId="11059B08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394</w:t>
      </w:r>
    </w:p>
    <w:p w14:paraId="1F19341C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Grands</w:t>
      </w:r>
      <w:proofErr w:type="spellEnd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Prix</w:t>
      </w:r>
      <w:proofErr w:type="spellEnd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entered</w:t>
      </w:r>
      <w:proofErr w:type="spellEnd"/>
    </w:p>
    <w:p w14:paraId="24F0E479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137</w:t>
      </w:r>
    </w:p>
    <w:p w14:paraId="4879C8AD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World </w:t>
      </w: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Championships</w:t>
      </w:r>
      <w:proofErr w:type="spellEnd"/>
    </w:p>
    <w:p w14:paraId="03148312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0</w:t>
      </w:r>
    </w:p>
    <w:p w14:paraId="44F5046F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Highest</w:t>
      </w:r>
      <w:proofErr w:type="spellEnd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race</w:t>
      </w:r>
      <w:proofErr w:type="spellEnd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finish</w:t>
      </w:r>
      <w:proofErr w:type="spellEnd"/>
    </w:p>
    <w:p w14:paraId="06B7E754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1 (x1)</w:t>
      </w:r>
    </w:p>
    <w:p w14:paraId="58323331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Highest</w:t>
      </w:r>
      <w:proofErr w:type="spellEnd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grid</w:t>
      </w:r>
      <w:proofErr w:type="spellEnd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position</w:t>
      </w:r>
      <w:proofErr w:type="spellEnd"/>
    </w:p>
    <w:p w14:paraId="18E2C90D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2</w:t>
      </w:r>
    </w:p>
    <w:p w14:paraId="4F47C0ED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Date</w:t>
      </w:r>
      <w:proofErr w:type="spellEnd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birth</w:t>
      </w:r>
      <w:proofErr w:type="spellEnd"/>
    </w:p>
    <w:p w14:paraId="0EC12FB3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07/02/1996</w:t>
      </w:r>
    </w:p>
    <w:p w14:paraId="244F9336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Place</w:t>
      </w:r>
      <w:proofErr w:type="spellEnd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D24E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birth</w:t>
      </w:r>
      <w:proofErr w:type="spellEnd"/>
    </w:p>
    <w:p w14:paraId="1BCF4667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Rouen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France</w:t>
      </w:r>
      <w:proofErr w:type="spellEnd"/>
    </w:p>
    <w:p w14:paraId="6996D306" w14:textId="77777777" w:rsidR="007158BA" w:rsidRDefault="007158BA">
      <w:pPr>
        <w:rPr>
          <w:lang w:val="el-GR"/>
        </w:rPr>
      </w:pPr>
    </w:p>
    <w:p w14:paraId="799998FE" w14:textId="77777777" w:rsidR="000D24E1" w:rsidRDefault="000D24E1">
      <w:pPr>
        <w:rPr>
          <w:lang w:val="el-GR"/>
        </w:rPr>
      </w:pPr>
    </w:p>
    <w:p w14:paraId="4BEE74CD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FormulaOne" w:eastAsia="Times New Roman" w:hAnsi="FormulaOne" w:cs="Times New Roman"/>
          <w:color w:val="000000"/>
          <w:kern w:val="0"/>
          <w:sz w:val="36"/>
          <w:szCs w:val="36"/>
          <w:lang w:val="el-GR" w:eastAsia="el-GR"/>
          <w14:ligatures w14:val="none"/>
        </w:rPr>
      </w:pPr>
      <w:proofErr w:type="spellStart"/>
      <w:r w:rsidRPr="000D24E1">
        <w:rPr>
          <w:rFonts w:ascii="FormulaOne" w:eastAsia="Times New Roman" w:hAnsi="FormulaOne" w:cs="Times New Roman"/>
          <w:color w:val="000000"/>
          <w:kern w:val="0"/>
          <w:sz w:val="36"/>
          <w:szCs w:val="36"/>
          <w:lang w:val="el-GR" w:eastAsia="el-GR"/>
          <w14:ligatures w14:val="none"/>
        </w:rPr>
        <w:lastRenderedPageBreak/>
        <w:t>Biography</w:t>
      </w:r>
      <w:proofErr w:type="spellEnd"/>
    </w:p>
    <w:p w14:paraId="1603BEEE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If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there’s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one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who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knows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how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big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rollercoaster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ride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F1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driver’s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career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can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it’s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Pierre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Gasly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!</w:t>
      </w:r>
    </w:p>
    <w:p w14:paraId="28C07DDD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The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flying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Frenchman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called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up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make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2017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debut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Malaysia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place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Daniil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Kvyat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and,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after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proving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mettle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named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Toro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Rosso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driver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following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year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A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further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21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races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into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fledgling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career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Gasly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moved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up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again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this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time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replace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Red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Bull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big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gun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Daniel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Ricciardo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7BA9531C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Gasly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seemed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have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knack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being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the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right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place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right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time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a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quality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that’s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equally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handy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on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track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A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series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impressive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2018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performances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for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Toro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Rosso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including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brilliant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fourth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place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Bahrain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showed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exciting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promise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for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what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might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‘A’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2019.</w:t>
      </w:r>
    </w:p>
    <w:p w14:paraId="29E6527C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Unfortunately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promise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only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appeared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flashes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and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quickly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suffered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from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unfavourable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comparisons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superstar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mate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Max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Verstappen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much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after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summer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break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sent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back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Toro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Rosso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another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young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up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-and-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comer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Alex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Albon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being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given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shot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the ‘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senior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’ Red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Bull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seat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03F71586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But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Gasly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bounced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back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only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Gasly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can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In the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season’s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remaining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nine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races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scored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almost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many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points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mate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Kvyat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managed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over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entire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year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and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secured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best-ever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result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P2 in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Brazil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trajectory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continued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2020,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peaking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emotional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maiden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renamed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AlphaTauri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team’s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home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Italy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and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didn’t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let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up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2021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when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back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on the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podium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scored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110 of the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squad’s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142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points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39016B2E" w14:textId="77777777" w:rsidR="000D24E1" w:rsidRPr="000D24E1" w:rsidRDefault="000D24E1" w:rsidP="000D24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When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AlphaTauri’s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momentum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stalled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2022,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Gasly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decided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time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for a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change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in the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form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French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Alpine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fellow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Frenchman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and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old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adversary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Esteban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Ocon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mate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The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question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now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is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can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regain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momentum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get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himself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another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shot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at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F1 </w:t>
      </w:r>
      <w:proofErr w:type="spellStart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bigtime</w:t>
      </w:r>
      <w:proofErr w:type="spellEnd"/>
      <w:r w:rsidRPr="000D24E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…</w:t>
      </w:r>
    </w:p>
    <w:p w14:paraId="594391D3" w14:textId="77777777" w:rsidR="000D24E1" w:rsidRDefault="000D24E1">
      <w:pPr>
        <w:rPr>
          <w:lang w:val="el-GR"/>
        </w:rPr>
      </w:pPr>
    </w:p>
    <w:p w14:paraId="3E6A1F54" w14:textId="77777777" w:rsidR="000D24E1" w:rsidRPr="000D24E1" w:rsidRDefault="000D24E1">
      <w:pPr>
        <w:rPr>
          <w:lang w:val="el-GR"/>
        </w:rPr>
      </w:pPr>
    </w:p>
    <w:sectPr w:rsidR="000D24E1" w:rsidRPr="000D24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142D5" w14:textId="77777777" w:rsidR="00060DF8" w:rsidRDefault="00060DF8" w:rsidP="00B122BE">
      <w:pPr>
        <w:spacing w:after="0" w:line="240" w:lineRule="auto"/>
      </w:pPr>
      <w:r>
        <w:separator/>
      </w:r>
    </w:p>
  </w:endnote>
  <w:endnote w:type="continuationSeparator" w:id="0">
    <w:p w14:paraId="47AFBA4B" w14:textId="77777777" w:rsidR="00060DF8" w:rsidRDefault="00060DF8" w:rsidP="00B1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rmulaOn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tilliu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4B2DF" w14:textId="77777777" w:rsidR="00060DF8" w:rsidRDefault="00060DF8" w:rsidP="00B122BE">
      <w:pPr>
        <w:spacing w:after="0" w:line="240" w:lineRule="auto"/>
      </w:pPr>
      <w:r>
        <w:separator/>
      </w:r>
    </w:p>
  </w:footnote>
  <w:footnote w:type="continuationSeparator" w:id="0">
    <w:p w14:paraId="6D699374" w14:textId="77777777" w:rsidR="00060DF8" w:rsidRDefault="00060DF8" w:rsidP="00B12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517EF"/>
    <w:multiLevelType w:val="multilevel"/>
    <w:tmpl w:val="D918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7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E1"/>
    <w:rsid w:val="00060DF8"/>
    <w:rsid w:val="000D24E1"/>
    <w:rsid w:val="007158BA"/>
    <w:rsid w:val="00B122BE"/>
    <w:rsid w:val="00DD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6C5D"/>
  <w15:chartTrackingRefBased/>
  <w15:docId w15:val="{2ED1E757-2F42-400E-A751-FCD1FD5C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4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4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4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4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4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4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4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4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4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4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4E1"/>
    <w:rPr>
      <w:b/>
      <w:bCs/>
      <w:smallCaps/>
      <w:color w:val="2E74B5" w:themeColor="accent1" w:themeShade="BF"/>
      <w:spacing w:val="5"/>
    </w:rPr>
  </w:style>
  <w:style w:type="paragraph" w:customStyle="1" w:styleId="f1-heading">
    <w:name w:val="f1-heading"/>
    <w:basedOn w:val="Normal"/>
    <w:rsid w:val="000D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  <w14:ligatures w14:val="none"/>
    </w:rPr>
  </w:style>
  <w:style w:type="paragraph" w:customStyle="1" w:styleId="f1-text">
    <w:name w:val="f1-text"/>
    <w:basedOn w:val="Normal"/>
    <w:rsid w:val="000D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D24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22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2BE"/>
  </w:style>
  <w:style w:type="paragraph" w:styleId="Footer">
    <w:name w:val="footer"/>
    <w:basedOn w:val="Normal"/>
    <w:link w:val="FooterChar"/>
    <w:uiPriority w:val="99"/>
    <w:unhideWhenUsed/>
    <w:rsid w:val="00B122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3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89720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8776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387812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20373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39620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21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9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f1store.formula1.com/en/pierre-gasly/a-2328448412+z-940713-227158819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Antoniou, Giannis (Αντωνίου Γιάννης)</dc:creator>
  <cp:keywords/>
  <dc:description/>
  <cp:lastModifiedBy>Antoniou, Giannis (Αντωνίου Γιάννης)</cp:lastModifiedBy>
  <cp:revision>2</cp:revision>
  <dcterms:created xsi:type="dcterms:W3CDTF">2024-05-24T12:16:00Z</dcterms:created>
  <dcterms:modified xsi:type="dcterms:W3CDTF">2024-05-24T12:20:00Z</dcterms:modified>
</cp:coreProperties>
</file>