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experience"/>
      <w:bookmarkEnd w:id="31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2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3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4" w:name="technical-experience"/>
      <w:bookmarkEnd w:id="34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0" w:name="research-publications"/>
      <w:bookmarkEnd w:id="40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5">
        <w:r>
          <w:rPr>
            <w:rStyle w:val="Hyperlink"/>
          </w:rPr>
          <w:t xml:space="preserve">Paper</w:t>
        </w:r>
      </w:hyperlink>
      <w:r>
        <w:t xml:space="preserve">] [</w:t>
      </w:r>
      <w:hyperlink r:id="rId46">
        <w:r>
          <w:rPr>
            <w:rStyle w:val="Hyperlink"/>
          </w:rPr>
          <w:t xml:space="preserve">BibTex</w:t>
        </w:r>
      </w:hyperlink>
      <w:r>
        <w:t xml:space="preserve">] [</w:t>
      </w:r>
      <w:hyperlink r:id="rId4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0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1" w:name="grands-awards-languages-and-living-abroad"/>
      <w:bookmarkEnd w:id="51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6f68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533f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