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16 diapositives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3 min 30</w:t>
            </w:r>
          </w:p>
        </w:tc>
      </w:tr>
      <w:tr>
        <w:tc>
          <w:tcPr>
            <w:tcW w:type="dxa" w:w="3120"/>
          </w:tcPr>
          <w:p>
            <w:r/>
            <w:r>
              <w:rPr>
                <w:sz w:val="22"/>
              </w:rPr>
              <w:t>6 et 7</w:t>
            </w:r>
          </w:p>
        </w:tc>
        <w:tc>
          <w:tcPr>
            <w:tcW w:type="dxa" w:w="3120"/>
          </w:tcPr>
          <w:p>
            <w:r/>
            <w:r>
              <w:rPr>
                <w:sz w:val="22"/>
              </w:rPr>
              <w:t>Architecture réseau et capteurs IoT</w:t>
            </w:r>
          </w:p>
        </w:tc>
        <w:tc>
          <w:tcPr>
            <w:tcW w:type="dxa" w:w="3120"/>
          </w:tcPr>
          <w:p>
            <w:r/>
            <w:r>
              <w:rPr>
                <w:sz w:val="22"/>
              </w:rPr>
              <w:t>2 min 30</w:t>
            </w:r>
          </w:p>
        </w:tc>
      </w:tr>
      <w:tr>
        <w:tc>
          <w:tcPr>
            <w:tcW w:type="dxa" w:w="3120"/>
          </w:tcPr>
          <w:p>
            <w:r/>
            <w:r>
              <w:rPr>
                <w:sz w:val="22"/>
              </w:rPr>
              <w:t>8 à 10</w:t>
            </w:r>
          </w:p>
        </w:tc>
        <w:tc>
          <w:tcPr>
            <w:tcW w:type="dxa" w:w="3120"/>
          </w:tcPr>
          <w:p>
            <w:r/>
            <w:r>
              <w:rPr>
                <w:sz w:val="22"/>
              </w:rPr>
              <w:t>Technologies, API et intelligence artificielle</w:t>
            </w:r>
          </w:p>
        </w:tc>
        <w:tc>
          <w:tcPr>
            <w:tcW w:type="dxa" w:w="3120"/>
          </w:tcPr>
          <w:p>
            <w:r/>
            <w:r>
              <w:rPr>
                <w:sz w:val="22"/>
              </w:rPr>
              <w:t>2 min 35</w:t>
            </w:r>
          </w:p>
        </w:tc>
      </w:tr>
      <w:tr>
        <w:tc>
          <w:tcPr>
            <w:tcW w:type="dxa" w:w="3120"/>
          </w:tcPr>
          <w:p>
            <w:r/>
            <w:r>
              <w:rPr>
                <w:sz w:val="22"/>
              </w:rPr>
              <w:t>11 à 13</w:t>
            </w:r>
          </w:p>
        </w:tc>
        <w:tc>
          <w:tcPr>
            <w:tcW w:type="dxa" w:w="3120"/>
          </w:tcPr>
          <w:p>
            <w:r/>
            <w:r>
              <w:rPr>
                <w:sz w:val="22"/>
              </w:rPr>
              <w:t>Sécurité, déploiement et résultats</w:t>
            </w:r>
          </w:p>
        </w:tc>
        <w:tc>
          <w:tcPr>
            <w:tcW w:type="dxa" w:w="3120"/>
          </w:tcPr>
          <w:p>
            <w:r/>
            <w:r>
              <w:rPr>
                <w:sz w:val="22"/>
              </w:rPr>
              <w:t>2 min 10</w:t>
            </w:r>
          </w:p>
        </w:tc>
      </w:tr>
      <w:tr>
        <w:tc>
          <w:tcPr>
            <w:tcW w:type="dxa" w:w="3120"/>
          </w:tcPr>
          <w:p>
            <w:r/>
            <w:r>
              <w:rPr>
                <w:sz w:val="22"/>
              </w:rPr>
              <w:t>14 à 16</w:t>
            </w:r>
          </w:p>
        </w:tc>
        <w:tc>
          <w:tcPr>
            <w:tcW w:type="dxa" w:w="3120"/>
          </w:tcPr>
          <w:p>
            <w:r/>
            <w:r>
              <w:rPr>
                <w:sz w:val="22"/>
              </w:rPr>
              <w:t>Compétences, conclusion et questions</w:t>
            </w:r>
          </w:p>
        </w:tc>
        <w:tc>
          <w:tcPr>
            <w:tcW w:type="dxa" w:w="3120"/>
          </w:tcPr>
          <w:p>
            <w:r/>
            <w:r>
              <w:rPr>
                <w:sz w:val="22"/>
              </w:rPr>
              <w:t>2 min 25</w:t>
            </w:r>
          </w:p>
        </w:tc>
      </w:tr>
    </w:tbl>
    <w:p>
      <w:pPr>
        <w:spacing w:after="200" w:before="0"/>
      </w:pPr>
    </w:p>
    <w:p>
      <w:pPr>
        <w:spacing w:after="0" w:before="0"/>
      </w:pPr>
      <w:r>
        <w:rPr>
          <w:rFonts w:ascii="Calibri" w:hAnsi="Calibri"/>
          <w:b w:val="0"/>
          <w:i/>
          <w:color w:val="5F6B5F"/>
          <w:sz w:val="21"/>
        </w:rPr>
        <w:t>Conseil : gardez ce document sous les yeux. Les lignes « À l'écran » rappellent ce que le public voit, le reste est à dire.</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 soit confiée à un technicien, ce qui prend du temps et coûte cher. Rien d'accessible n'existe pour les petites et moyennes exploitations.</w:t>
      </w:r>
    </w:p>
    <w:p>
      <w:pPr>
        <w:spacing w:after="160" w:before="0"/>
      </w:pPr>
      <w:r>
        <w:rPr>
          <w:rFonts w:ascii="Calibri" w:hAnsi="Calibri"/>
          <w:b w:val="0"/>
          <w:i w:val="0"/>
          <w:color w:val="2B2B2B"/>
          <w:sz w:val="23"/>
        </w:rPr>
        <w:t>Notre réponse : photographier une feuille et obtenir un diagnostic immédiat, doublé d'une surveillance permanente des parcelles par des capteurs.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Cinq objectifs marqués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une architecture réseau intégrant des capteurs IoT, et trois technologies imposées avec leur documentation.</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 Elle part directement en base de données.</w:t>
      </w:r>
    </w:p>
    <w:p>
      <w:pPr>
        <w:spacing w:after="160" w:before="0"/>
      </w:pPr>
      <w:r>
        <w:rPr>
          <w:rFonts w:ascii="Calibri" w:hAnsi="Calibri"/>
          <w:b w:val="0"/>
          <w:i w:val="0"/>
          <w:color w:val="2B2B2B"/>
          <w:sz w:val="23"/>
        </w:rPr>
        <w:t>Ensuite, onglet Diagnostic : j'envoie une photo de feuille. L'analyse prend environ une seconde et demie. Vous voyez la maladie détectée, l'indice de confiance, la sévérité et les traitements recommandés.</w:t>
      </w:r>
    </w:p>
    <w:p>
      <w:pPr>
        <w:spacing w:after="160" w:before="0"/>
      </w:pPr>
      <w:r>
        <w:rPr>
          <w:rFonts w:ascii="Calibri" w:hAnsi="Calibri"/>
          <w:b w:val="0"/>
          <w:i w:val="0"/>
          <w:color w:val="2B2B2B"/>
          <w:sz w:val="23"/>
        </w:rPr>
        <w:t>Onglet Capteurs : voici le réseau. Chaque parcelle a son boîtier, qui remonte six mesures. Vous voyez le nombre de capteurs en ligne et le nombre total de trames reçues depuis le démarrage. Les valeurs changent à chaque minute.</w:t>
      </w:r>
    </w:p>
    <w:p>
      <w:pPr>
        <w:spacing w:after="160" w:before="0"/>
      </w:pPr>
      <w:r>
        <w:rPr>
          <w:rFonts w:ascii="Calibri" w:hAnsi="Calibri"/>
          <w:b w:val="0"/>
          <w:i w:val="0"/>
          <w:color w:val="2B2B2B"/>
          <w:sz w:val="23"/>
        </w:rPr>
        <w:t>Onglet Alertes : c'est là que tout se croise. Le serveur compare les relevés des capteurs, le dernier diagnostic et la météo, puis classe les alertes par gravité.</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capteurs de parcelle, gestion des parcelles, historique complet, météo en temps réel et alertes croisées.</w:t>
      </w:r>
    </w:p>
    <w:p>
      <w:pPr>
        <w:spacing w:after="160" w:before="0"/>
      </w:pPr>
      <w:r>
        <w:rPr>
          <w:rFonts w:ascii="Calibri" w:hAnsi="Calibri"/>
          <w:b w:val="0"/>
          <w:i w:val="0"/>
          <w:color w:val="2B2B2B"/>
          <w:sz w:val="23"/>
        </w:rPr>
        <w:t>Tout est persistant en base : rien ne dépend du navigateur.</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La couche terrain et les quatre tiers, puis le flux de données.</w:t>
      </w:r>
    </w:p>
    <w:p>
      <w:pPr>
        <w:spacing w:after="40" w:before="0"/>
      </w:pPr>
    </w:p>
    <w:p>
      <w:pPr>
        <w:spacing w:after="160" w:before="0"/>
      </w:pPr>
      <w:r>
        <w:rPr>
          <w:rFonts w:ascii="Calibri" w:hAnsi="Calibri"/>
          <w:b w:val="0"/>
          <w:i w:val="0"/>
          <w:color w:val="2B2B2B"/>
          <w:sz w:val="23"/>
        </w:rPr>
        <w:t>L'architecture part du terrain. Chaque parcelle porte un capteur qui envoie ses mesures à l'API.</w:t>
      </w:r>
    </w:p>
    <w:p>
      <w:pPr>
        <w:spacing w:after="160" w:before="0"/>
      </w:pPr>
      <w:r>
        <w:rPr>
          <w:rFonts w:ascii="Calibri" w:hAnsi="Calibri"/>
          <w:b w:val="0"/>
          <w:i w:val="0"/>
          <w:color w:val="2B2B2B"/>
          <w:sz w:val="23"/>
        </w:rPr>
        <w:t>Viennent ensuite quatre tiers. Le tier 1, la présentation : le frontend responsive. Le tier 2, le métier : l'API REST FastAPI qui porte toute la logique. Le tier 3, les données : PostgreSQL pour le stockage, Redis pour le cache. Le tier 4, les services externes : notre modèle d'intelligence artificielle et Open-Meteo pour la météo.</w:t>
      </w:r>
    </w:p>
    <w:p>
      <w:pPr>
        <w:spacing w:after="160" w:before="0"/>
      </w:pPr>
      <w:r>
        <w:rPr>
          <w:rFonts w:ascii="Calibri" w:hAnsi="Calibri"/>
          <w:b w:val="0"/>
          <w:i w:val="0"/>
          <w:color w:val="2B2B2B"/>
          <w:sz w:val="23"/>
        </w:rPr>
        <w:t>Le flux d'un diagnostic est simple : la photo part du navigateur vers l'API, elle est analysée par le modèle IA, le résultat est écrit en base, puis renvoyé en JSON.</w:t>
      </w:r>
    </w:p>
    <w:p>
      <w:pPr>
        <w:spacing w:after="40" w:before="280"/>
      </w:pPr>
      <w:r>
        <w:rPr>
          <w:rFonts w:ascii="Cambria" w:hAnsi="Cambria"/>
          <w:b/>
          <w:i w:val="0"/>
          <w:color w:val="2C5F2D"/>
          <w:sz w:val="34"/>
        </w:rPr>
        <w:t>Diapositive 7 — Capteurs IoT</w:t>
      </w:r>
    </w:p>
    <w:p>
      <w:pPr>
        <w:spacing w:after="80"/>
      </w:pPr>
      <w:r>
        <w:rPr>
          <w:rFonts w:ascii="Calibri" w:hAnsi="Calibri"/>
          <w:b/>
          <w:color w:val="2C5F2D"/>
          <w:sz w:val="21"/>
        </w:rPr>
        <w:t xml:space="preserve">Durée : </w:t>
      </w:r>
      <w:r>
        <w:rPr>
          <w:rFonts w:ascii="Calibri" w:hAnsi="Calibri"/>
          <w:color w:val="2B2B2B"/>
          <w:sz w:val="21"/>
        </w:rPr>
        <w:t>1 min 10</w:t>
      </w:r>
    </w:p>
    <w:p>
      <w:pPr>
        <w:spacing w:after="80"/>
      </w:pPr>
      <w:r>
        <w:rPr>
          <w:rFonts w:ascii="Calibri" w:hAnsi="Calibri"/>
          <w:b/>
          <w:color w:val="2C5F2D"/>
          <w:sz w:val="21"/>
        </w:rPr>
        <w:t xml:space="preserve">À l'écran : </w:t>
      </w:r>
      <w:r>
        <w:rPr>
          <w:rFonts w:ascii="Calibri" w:hAnsi="Calibri"/>
          <w:color w:val="2B2B2B"/>
          <w:sz w:val="21"/>
        </w:rPr>
        <w:t>Les six grandeurs mesurées à gauche, les règles d'alerte à droite, la chaîne en bas.</w:t>
      </w:r>
    </w:p>
    <w:p>
      <w:pPr>
        <w:spacing w:after="40" w:before="0"/>
      </w:pPr>
    </w:p>
    <w:p>
      <w:pPr>
        <w:spacing w:after="160" w:before="0"/>
      </w:pPr>
      <w:r>
        <w:rPr>
          <w:rFonts w:ascii="Calibri" w:hAnsi="Calibri"/>
          <w:b w:val="0"/>
          <w:i w:val="0"/>
          <w:color w:val="2B2B2B"/>
          <w:sz w:val="23"/>
        </w:rPr>
        <w:t>Parlons des capteurs, parce que c'est ce qui rend la surveillance continue.</w:t>
      </w:r>
    </w:p>
    <w:p>
      <w:pPr>
        <w:spacing w:after="160" w:before="0"/>
      </w:pPr>
      <w:r>
        <w:rPr>
          <w:rFonts w:ascii="Calibri" w:hAnsi="Calibri"/>
          <w:b w:val="0"/>
          <w:i w:val="0"/>
          <w:color w:val="2B2B2B"/>
          <w:sz w:val="23"/>
        </w:rPr>
        <w:t>Chaque boîtier mesure six grandeurs : l'humidité et la température du sol, la température et l'hygrométrie de l'air, l'humectation du feuillage, et son propre niveau de batterie. Il envoie une trame JSON par minute, en HTTP, vers l'API.</w:t>
      </w:r>
    </w:p>
    <w:p>
      <w:pPr>
        <w:spacing w:after="160" w:before="0"/>
      </w:pPr>
      <w:r>
        <w:rPr>
          <w:rFonts w:ascii="Calibri" w:hAnsi="Calibri"/>
          <w:b w:val="0"/>
          <w:i w:val="0"/>
          <w:color w:val="2B2B2B"/>
          <w:sz w:val="23"/>
        </w:rPr>
        <w:t>La grandeur la plus importante pour nous est l'humectation foliaire. Quand le feuillage reste mouillé et que la température est douce, entre 15 et 25 degrés, les spores germent. C'est exactement la règle que vous voyez en haut à droite.</w:t>
      </w:r>
    </w:p>
    <w:p>
      <w:pPr>
        <w:spacing w:after="160" w:before="0"/>
      </w:pPr>
      <w:r>
        <w:rPr>
          <w:rFonts w:ascii="Calibri" w:hAnsi="Calibri"/>
          <w:b w:val="0"/>
          <w:i w:val="0"/>
          <w:color w:val="2B2B2B"/>
          <w:sz w:val="23"/>
        </w:rPr>
        <w:t>Le serveur détecte aussi le stress hydrique, l'excès d'eau, une batterie faible et un capteur devenu muet depuis plus de quinze minutes.</w:t>
      </w:r>
    </w:p>
    <w:p>
      <w:pPr>
        <w:spacing w:after="160" w:before="0"/>
      </w:pPr>
      <w:r>
        <w:rPr>
          <w:rFonts w:ascii="Calibri" w:hAnsi="Calibri"/>
          <w:b w:val="0"/>
          <w:i w:val="0"/>
          <w:color w:val="2B2B2B"/>
          <w:sz w:val="23"/>
        </w:rPr>
        <w:t>Aujourd'hui, ces capteurs sont simulés par un conteneur dédié — le cahier des charges l'autorise explicitement. Mais ils parlent le même protocole que de vrais boîtiers : les remplacer ne demanderait aucune modification de l'API.</w:t>
      </w:r>
    </w:p>
    <w:p>
      <w:pPr>
        <w:spacing w:after="40" w:before="280"/>
      </w:pPr>
      <w:r>
        <w:rPr>
          <w:rFonts w:ascii="Cambria" w:hAnsi="Cambria"/>
          <w:b/>
          <w:i w:val="0"/>
          <w:color w:val="2C5F2D"/>
          <w:sz w:val="34"/>
        </w:rPr>
        <w:t>Diapositive 8 — Technologies imposées</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asynchrone, validation native, documentation automatique. Pas Node.js, parce que Python domine la vision par ordinateur.</w:t>
      </w:r>
    </w:p>
    <w:p>
      <w:pPr>
        <w:spacing w:after="160" w:before="0"/>
      </w:pPr>
      <w:r>
        <w:rPr>
          <w:rFonts w:ascii="Calibri" w:hAnsi="Calibri"/>
          <w:b w:val="0"/>
          <w:i w:val="0"/>
          <w:color w:val="2B2B2B"/>
          <w:sz w:val="23"/>
        </w:rPr>
        <w:t>PostgreSQL pour les données : transactions ACID et modèle relationnel. Pas MongoDB, parce que les relations entre utilisateur, parcelle, diagnostic et relevé sont structurées.</w:t>
      </w:r>
    </w:p>
    <w:p>
      <w:pPr>
        <w:spacing w:after="160" w:before="0"/>
      </w:pPr>
      <w:r>
        <w:rPr>
          <w:rFonts w:ascii="Calibri" w:hAnsi="Calibri"/>
          <w:b w:val="0"/>
          <w:i w:val="0"/>
          <w:color w:val="2B2B2B"/>
          <w:sz w:val="23"/>
        </w:rPr>
        <w:t>Docker et AWS pour l'infrastructure : le conteneur garantit un comportement identique en développement et en production. Pas Kubernetes, surdimensionné pour un MVP.</w:t>
      </w:r>
    </w:p>
    <w:p>
      <w:pPr>
        <w:spacing w:after="40" w:before="280"/>
      </w:pPr>
      <w:r>
        <w:rPr>
          <w:rFonts w:ascii="Cambria" w:hAnsi="Cambria"/>
          <w:b/>
          <w:i w:val="0"/>
          <w:color w:val="2C5F2D"/>
          <w:sz w:val="34"/>
        </w:rPr>
        <w:t>Diapositive 9 — Interface de programmation</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Dix-huit endpoints répartis en quatre familles.</w:t>
      </w:r>
    </w:p>
    <w:p>
      <w:pPr>
        <w:spacing w:after="40" w:before="0"/>
      </w:pPr>
    </w:p>
    <w:p>
      <w:pPr>
        <w:spacing w:after="160" w:before="0"/>
      </w:pPr>
      <w:r>
        <w:rPr>
          <w:rFonts w:ascii="Calibri" w:hAnsi="Calibri"/>
          <w:b w:val="0"/>
          <w:i w:val="0"/>
          <w:color w:val="2B2B2B"/>
          <w:sz w:val="23"/>
        </w:rPr>
        <w:t>L'API expose dix-huit endpoints, en quatre familles : l'authentification, la gestion des parcelles, les capteurs et le diagnostic avec son suivi.</w:t>
      </w:r>
    </w:p>
    <w:p>
      <w:pPr>
        <w:spacing w:after="160" w:before="0"/>
      </w:pPr>
      <w:r>
        <w:rPr>
          <w:rFonts w:ascii="Calibri" w:hAnsi="Calibri"/>
          <w:b w:val="0"/>
          <w:i w:val="0"/>
          <w:color w:val="2B2B2B"/>
          <w:sz w:val="23"/>
        </w:rPr>
        <w:t>Tout est testable en direct via Swagger, à l'adresse slash docs.</w:t>
      </w:r>
    </w:p>
    <w:p>
      <w:pPr>
        <w:spacing w:after="40" w:before="280"/>
      </w:pPr>
      <w:r>
        <w:rPr>
          <w:rFonts w:ascii="Cambria" w:hAnsi="Cambria"/>
          <w:b/>
          <w:i w:val="0"/>
          <w:color w:val="2C5F2D"/>
          <w:sz w:val="34"/>
        </w:rPr>
        <w:t>Diapositive 10 — Intelligence artificielle</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C'est un vrai modèle entraîné, pas une simple analyse de couleurs. On part de MobileNetV2, un réseau de neurones convolutif pré-entraîné sur ImageNet, poids gelés, et on entraîne juste une petite tête de classification par-dessus : c'est le transfer learning.</w:t>
      </w:r>
    </w:p>
    <w:p>
      <w:pPr>
        <w:spacing w:after="160" w:before="0"/>
      </w:pPr>
      <w:r>
        <w:rPr>
          <w:rFonts w:ascii="Calibri" w:hAnsi="Calibri"/>
          <w:b w:val="0"/>
          <w:i w:val="0"/>
          <w:color w:val="2B2B2B"/>
          <w:sz w:val="23"/>
        </w:rPr>
        <w:t>L'entraînement s'est fait sur PlantVillage : 54 305 photos réelles de feuilles, labellisées, couvrant 38 maladies sur 14 cultures différentes.</w:t>
      </w:r>
    </w:p>
    <w:p>
      <w:pPr>
        <w:spacing w:after="160" w:before="0"/>
      </w:pPr>
      <w:r>
        <w:rPr>
          <w:rFonts w:ascii="Calibri" w:hAnsi="Calibri"/>
          <w:b w:val="0"/>
          <w:i w:val="0"/>
          <w:color w:val="2B2B2B"/>
          <w:sz w:val="23"/>
        </w:rPr>
        <w:t>Le résultat est mesuré, pas estimé : sur les 10 849 photos du jeu de test, jamais vues pendant l'entraînement, le modèle atteint 96,70 % de précision.</w:t>
      </w:r>
    </w:p>
    <w:p>
      <w:pPr>
        <w:spacing w:after="160" w:before="0"/>
      </w:pPr>
      <w:r>
        <w:rPr>
          <w:rFonts w:ascii="Calibri" w:hAnsi="Calibri"/>
          <w:b w:val="0"/>
          <w:i w:val="0"/>
          <w:color w:val="2B2B2B"/>
          <w:sz w:val="23"/>
        </w:rPr>
        <w:t>Exporté en TensorFlow Lite, moins de 5 mégaoctets, il répond en 30 à 50 millisecondes, ce qui rend l'outil utilisable directement dans le champ.</w:t>
      </w:r>
    </w:p>
    <w:p>
      <w:pPr>
        <w:spacing w:after="40" w:before="280"/>
      </w:pPr>
      <w:r>
        <w:rPr>
          <w:rFonts w:ascii="Cambria" w:hAnsi="Cambria"/>
          <w:b/>
          <w:i w:val="0"/>
          <w:color w:val="2C5F2D"/>
          <w:sz w:val="34"/>
        </w:rPr>
        <w:t>Diapositive 11 — Sécurité</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Six couches de sécurité : jetons JWT valables trente jours sans session côté serveur, mots de passe hachés avec Bcrypt et sel, validation Pydantic de toute donnée entrante — y compris les trames des capteurs — CORS configuré, HTTPS prêt via Let's Encrypt, et isolation des données par utilisateur.</w:t>
      </w:r>
    </w:p>
    <w:p>
      <w:pPr>
        <w:spacing w:after="40" w:before="280"/>
      </w:pPr>
      <w:r>
        <w:rPr>
          <w:rFonts w:ascii="Cambria" w:hAnsi="Cambria"/>
          <w:b/>
          <w:i w:val="0"/>
          <w:color w:val="2C5F2D"/>
          <w:sz w:val="34"/>
        </w:rPr>
        <w:t>Diapositive 12 — Déploiement</w:t>
      </w:r>
    </w:p>
    <w:p>
      <w:pPr>
        <w:spacing w:after="80"/>
      </w:pPr>
      <w:r>
        <w:rPr>
          <w:rFonts w:ascii="Calibri" w:hAnsi="Calibri"/>
          <w:b/>
          <w:color w:val="2C5F2D"/>
          <w:sz w:val="21"/>
        </w:rPr>
        <w:t xml:space="preserve">Durée : </w:t>
      </w:r>
      <w:r>
        <w:rPr>
          <w:rFonts w:ascii="Calibri" w:hAnsi="Calibri"/>
          <w:color w:val="2B2B2B"/>
          <w:sz w:val="21"/>
        </w:rPr>
        <w:t>50 secondes</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Une instance AWS EC2 t2.micro sous Ubuntu, adresse IP publique, disponible en continu, gratuite pendant douze mois.</w:t>
      </w:r>
    </w:p>
    <w:p>
      <w:pPr>
        <w:spacing w:after="160" w:before="0"/>
      </w:pPr>
      <w:r>
        <w:rPr>
          <w:rFonts w:ascii="Calibri" w:hAnsi="Calibri"/>
          <w:b w:val="0"/>
          <w:i w:val="0"/>
          <w:color w:val="2B2B2B"/>
          <w:sz w:val="23"/>
        </w:rPr>
        <w:t>Elle exécute quatre conteneurs Docker : l'API, PostgreSQL, Redis et le simulateur de capteurs. Les volumes sont persistants,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13 — Résultats mesurés</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Le cahier des charges ne fixe aucun seuil chiffré : nous nous sommes fixé nos propres objectifs de qualité, tous dépassés. Dix-huit endpoints livrés pour un objectif de cinq. 30 à 50 millisecondes de temps de réponse contre un objectif de moins de deux secondes. Un relevé par minute et par capteur, soit une surveillance continue.</w:t>
      </w:r>
    </w:p>
    <w:p>
      <w:pPr>
        <w:spacing w:after="160" w:before="0"/>
      </w:pPr>
      <w:r>
        <w:rPr>
          <w:rFonts w:ascii="Calibri" w:hAnsi="Calibri"/>
          <w:b w:val="0"/>
          <w:i w:val="0"/>
          <w:color w:val="2B2B2B"/>
          <w:sz w:val="23"/>
        </w:rPr>
        <w:t>La précision du modèle IA, elle, n'est pas un objectif qu'on s'est fixé : c'est une mesure, 96,70 % sur un jeu de test de 10 849 photos jamais vues à l'entraînement.</w:t>
      </w:r>
    </w:p>
    <w:p>
      <w:pPr>
        <w:spacing w:after="160" w:before="0"/>
      </w:pPr>
      <w:r>
        <w:rPr>
          <w:rFonts w:ascii="Calibri" w:hAnsi="Calibri"/>
          <w:b w:val="0"/>
          <w:i w:val="0"/>
          <w:color w:val="2B2B2B"/>
          <w:sz w:val="23"/>
        </w:rPr>
        <w:t>Les exigences explicites du CDC, elles, sont toutes respectées : les trois technologies imposées, le déploiement cloud, l'architecture avec capteurs IoT et la documentation complète.</w:t>
      </w:r>
    </w:p>
    <w:p>
      <w:pPr>
        <w:spacing w:after="40" w:before="280"/>
      </w:pPr>
      <w:r>
        <w:rPr>
          <w:rFonts w:ascii="Cambria" w:hAnsi="Cambria"/>
          <w:b/>
          <w:i w:val="0"/>
          <w:color w:val="2C5F2D"/>
          <w:sz w:val="34"/>
        </w:rPr>
        <w:t>Diapositive 14 — Compétences Bachelor 2</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le développement backend, le développement frontend, les bases de données, et le réseau avec l'IoT et le cloud.</w:t>
      </w:r>
    </w:p>
    <w:p>
      <w:pPr>
        <w:spacing w:after="40" w:before="280"/>
      </w:pPr>
      <w:r>
        <w:rPr>
          <w:rFonts w:ascii="Cambria" w:hAnsi="Cambria"/>
          <w:b/>
          <w:i w:val="0"/>
          <w:color w:val="2C5F2D"/>
          <w:sz w:val="34"/>
        </w:rPr>
        <w:t>Diapositive 15 — Conclusion</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Quatre qualités du projet et une phrase de synthèse.</w:t>
      </w:r>
    </w:p>
    <w:p>
      <w:pPr>
        <w:spacing w:after="40" w:before="0"/>
      </w:pPr>
    </w:p>
    <w:p>
      <w:pPr>
        <w:spacing w:after="160" w:before="0"/>
      </w:pPr>
      <w:r>
        <w:rPr>
          <w:rFonts w:ascii="Calibri" w:hAnsi="Calibri"/>
          <w:b w:val="0"/>
          <w:i w:val="0"/>
          <w:color w:val="2B2B2B"/>
          <w:sz w:val="23"/>
        </w:rPr>
        <w:t>PlantDiag est fonctionnel, conforme au cahier des charges, documenté et évolutif.</w:t>
      </w:r>
    </w:p>
    <w:p>
      <w:pPr>
        <w:spacing w:after="160" w:before="0"/>
      </w:pPr>
      <w:r>
        <w:rPr>
          <w:rFonts w:ascii="Calibri" w:hAnsi="Calibri"/>
          <w:b w:val="0"/>
          <w:i w:val="0"/>
          <w:color w:val="2B2B2B"/>
          <w:sz w:val="23"/>
        </w:rPr>
        <w:t>Il est immédiatement utilisable par un agriculteur, depuis son téléphone, dans son champ.</w:t>
      </w:r>
    </w:p>
    <w:p>
      <w:pPr>
        <w:spacing w:after="40" w:before="280"/>
      </w:pPr>
      <w:r>
        <w:rPr>
          <w:rFonts w:ascii="Cambria" w:hAnsi="Cambria"/>
          <w:b/>
          <w:i w:val="0"/>
          <w:color w:val="2C5F2D"/>
          <w:sz w:val="34"/>
        </w:rPr>
        <w:t>Diapositive 16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la documentation de l'API et le code source complet sont aux adresses affichées. 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Les capteurs sont-ils réels ?</w:t>
      </w:r>
    </w:p>
    <w:p>
      <w:pPr>
        <w:spacing w:after="80" w:before="0"/>
      </w:pPr>
      <w:r>
        <w:rPr>
          <w:rFonts w:ascii="Calibri" w:hAnsi="Calibri"/>
          <w:b w:val="0"/>
          <w:i w:val="0"/>
          <w:color w:val="2B2B2B"/>
          <w:sz w:val="23"/>
        </w:rPr>
        <w:t>Non, ils sont simulés par un conteneur dédié, et le cahier des charges l'autorise explicitement : « capteurs IoT simulés ou réels ». Le point important est que la simulation s'arrête au boîtier : les trames partent en HTTP vers l'API exactement comme le feraient de vrais capteurs, et le serveur ne sait pas d'où elles viennent.</w:t>
      </w:r>
    </w:p>
    <w:p>
      <w:pPr>
        <w:spacing w:after="60" w:before="200"/>
      </w:pPr>
      <w:r>
        <w:rPr>
          <w:rFonts w:ascii="Calibri" w:hAnsi="Calibri"/>
          <w:b/>
          <w:i w:val="0"/>
          <w:color w:val="2C5F2D"/>
          <w:sz w:val="25"/>
        </w:rPr>
        <w:t>Comment passeriez-vous à de vrais capteurs ?</w:t>
      </w:r>
    </w:p>
    <w:p>
      <w:pPr>
        <w:spacing w:after="80" w:before="0"/>
      </w:pPr>
      <w:r>
        <w:rPr>
          <w:rFonts w:ascii="Calibri" w:hAnsi="Calibri"/>
          <w:b w:val="0"/>
          <w:i w:val="0"/>
          <w:color w:val="2B2B2B"/>
          <w:sz w:val="23"/>
        </w:rPr>
        <w:t>En remplaçant le conteneur par des boîtiers physiques qui envoient la même trame JSON sur le même endpoint, via une passerelle LoRaWAN ou une carte 4G. Aucune ligne de l'API ne changerait. C'est pour cela que j'ai choisi HTTP plutôt qu'un protocole propriétaire.</w:t>
      </w:r>
    </w:p>
    <w:p>
      <w:pPr>
        <w:spacing w:after="60" w:before="200"/>
      </w:pPr>
      <w:r>
        <w:rPr>
          <w:rFonts w:ascii="Calibri" w:hAnsi="Calibri"/>
          <w:b/>
          <w:i w:val="0"/>
          <w:color w:val="2C5F2D"/>
          <w:sz w:val="25"/>
        </w:rPr>
        <w:t>Pourquoi mesurer l'humectation du feuillage ?</w:t>
      </w:r>
    </w:p>
    <w:p>
      <w:pPr>
        <w:spacing w:after="80" w:before="0"/>
      </w:pPr>
      <w:r>
        <w:rPr>
          <w:rFonts w:ascii="Calibri" w:hAnsi="Calibri"/>
          <w:b w:val="0"/>
          <w:i w:val="0"/>
          <w:color w:val="2B2B2B"/>
          <w:sz w:val="23"/>
        </w:rPr>
        <w:t>Parce que c'est le facteur déclenchant des maladies fongiques. Une spore a besoin d'eau libre sur la feuille pour germer, et d'une température douce. L'humidité de l'air ne suffit pas à le dire : après une averse, le feuillage reste mouillé même si l'air s'assèche.</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TensorFlow, NumPy.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du transfer learning : on part de MobileNetV2, un réseau de neurones convolutif déjà entraîné sur ImageNet, on garde ses poids gelés, et on entraîne juste une tête de classification par-dessus sur nos 38 catégories. Ça évite d'avoir besoin de millions d'images et de jours d'entraînement, tout en gardant la puissance d'un vrai réseau de neurones.</w:t>
      </w:r>
    </w:p>
    <w:p>
      <w:pPr>
        <w:spacing w:after="60" w:before="200"/>
      </w:pPr>
      <w:r>
        <w:rPr>
          <w:rFonts w:ascii="Calibri" w:hAnsi="Calibri"/>
          <w:b/>
          <w:i w:val="0"/>
          <w:color w:val="2C5F2D"/>
          <w:sz w:val="25"/>
        </w:rPr>
        <w:t>Quelle est la précision du diagnostic ?</w:t>
      </w:r>
    </w:p>
    <w:p>
      <w:pPr>
        <w:spacing w:after="80" w:before="0"/>
      </w:pPr>
      <w:r>
        <w:rPr>
          <w:rFonts w:ascii="Calibri" w:hAnsi="Calibri"/>
          <w:b w:val="0"/>
          <w:i w:val="0"/>
          <w:color w:val="2B2B2B"/>
          <w:sz w:val="23"/>
        </w:rPr>
        <w:t>96,70 %, mesurée sur 10 849 photos du jeu de test PlantVillage, jamais vues pendant l'entraînement. Ce n'est pas une estimation : les données ont été séparées en deux blocs avant tout entraînement, 43 456 photos pour apprendre, 10 849 mises de côté pour vérifier.</w:t>
      </w:r>
    </w:p>
    <w:p>
      <w:pPr>
        <w:spacing w:after="60" w:before="200"/>
      </w:pPr>
      <w:r>
        <w:rPr>
          <w:rFonts w:ascii="Calibri" w:hAnsi="Calibri"/>
          <w:b/>
          <w:i w:val="0"/>
          <w:color w:val="2C5F2D"/>
          <w:sz w:val="25"/>
        </w:rPr>
        <w:t>Est-ce que le diagnostic est toujours fiable ?</w:t>
      </w:r>
    </w:p>
    <w:p>
      <w:pPr>
        <w:spacing w:after="80" w:before="0"/>
      </w:pPr>
      <w:r>
        <w:rPr>
          <w:rFonts w:ascii="Calibri" w:hAnsi="Calibri"/>
          <w:b w:val="0"/>
          <w:i w:val="0"/>
          <w:color w:val="2B2B2B"/>
          <w:sz w:val="23"/>
        </w:rPr>
        <w:t>C'est un vrai modèle entraîné et validé, pas un diagnostic phytosanitaire certifié : sur une photo ambiguë ou une maladie hors des 38 catégories apprises, il peut se tromper. L'indice de confiance aide à repérer ces cas incertains. Étendre le nombre de maladies couvertes, avec d'autres jeux de données, est une évolution possible du projet.</w:t>
      </w:r>
    </w:p>
    <w:p>
      <w:pPr>
        <w:spacing w:after="60" w:before="200"/>
      </w:pPr>
      <w:r>
        <w:rPr>
          <w:rFonts w:ascii="Calibri" w:hAnsi="Calibri"/>
          <w:b/>
          <w:i w:val="0"/>
          <w:color w:val="2C5F2D"/>
          <w:sz w:val="25"/>
        </w:rPr>
        <w:t>Le blé et le colza sont-ils couverts par l'IA ?</w:t>
      </w:r>
    </w:p>
    <w:p>
      <w:pPr>
        <w:spacing w:after="80" w:before="0"/>
      </w:pPr>
      <w:r>
        <w:rPr>
          <w:rFonts w:ascii="Calibri" w:hAnsi="Calibri"/>
          <w:b w:val="0"/>
          <w:i w:val="0"/>
          <w:color w:val="2B2B2B"/>
          <w:sz w:val="23"/>
        </w:rPr>
        <w:t>Non, et c'est une limite assumée. PlantVillage, le jeu de données utilisé pour l'entraînement, couvre 14 cultures mais pas les céréales ni le colza. Nous avons cherché des données spécifiques au blé ; les sources trouvées demandaient soit un compte Kaggle avec justificatif, soit un formulaire d'accès avec délai, incompatibles avec le calendrier. Étendre la couverture à d'autres cultures est une évolution possible, avec le bon jeu de données.</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et des relevés de capteurs.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Une seule instance EC2 suffit aujourd'hui. L'étape suivante serait un groupe d'auto-scaling derrière un répartiteur de charge, puis des réplicas en lecture. Pour les capteurs, le volume est faible : une trame par minute et par parcelle, soit environ 1 440 lignes par parcelle et par jour.</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Le coût réel d'un déploiement serait celui des capteurs physiques.</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jetons JWT, mots de passe hachés avec Bcrypt,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Que se passe-t-il si un capteur tombe en panne ?</w:t>
      </w:r>
    </w:p>
    <w:p>
      <w:pPr>
        <w:spacing w:after="80" w:before="0"/>
      </w:pPr>
      <w:r>
        <w:rPr>
          <w:rFonts w:ascii="Calibri" w:hAnsi="Calibri"/>
          <w:b w:val="0"/>
          <w:i w:val="0"/>
          <w:color w:val="2B2B2B"/>
          <w:sz w:val="23"/>
        </w:rPr>
        <w:t>Le serveur le détecte : au-delà de quinze minutes sans trame, le capteur est marqué hors ligne dans l'onglet Capteurs et une alerte de maintenance remonte. La même logique surveille le niveau de batterie et prévient sous 20 %.</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est directement utilisable.</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l'onglet Capteurs et vérifier que les deux capteurs sont en ligne.</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et du réseau de capteurs,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