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2000"/>
        <w:jc w:val="center"/>
      </w:pPr>
      <w:r>
        <w:rPr>
          <w:rFonts w:ascii="Cambria" w:hAnsi="Cambria"/>
          <w:b/>
          <w:i w:val="0"/>
          <w:color w:val="2C5F2D"/>
          <w:sz w:val="84"/>
        </w:rPr>
        <w:t>PlantDiag</w:t>
      </w:r>
    </w:p>
    <w:p>
      <w:pPr>
        <w:spacing w:after="800" w:before="0"/>
        <w:jc w:val="center"/>
      </w:pPr>
      <w:r>
        <w:rPr>
          <w:rFonts w:ascii="Calibri" w:hAnsi="Calibri"/>
          <w:b w:val="0"/>
          <w:i w:val="0"/>
          <w:color w:val="5F6B5F"/>
          <w:sz w:val="32"/>
        </w:rPr>
        <w:t>Diagnostic agricole par intelligence artificielle</w:t>
      </w:r>
    </w:p>
    <w:p>
      <w:pPr>
        <w:spacing w:after="120" w:before="0"/>
        <w:jc w:val="center"/>
      </w:pPr>
      <w:r>
        <w:rPr>
          <w:rFonts w:ascii="Cambria" w:hAnsi="Cambria"/>
          <w:b/>
          <w:i w:val="0"/>
          <w:color w:val="2B2B2B"/>
          <w:sz w:val="40"/>
        </w:rPr>
        <w:t>Rapport technique</w:t>
      </w:r>
    </w:p>
    <w:p>
      <w:pPr>
        <w:spacing w:after="1400" w:before="0"/>
        <w:jc w:val="center"/>
      </w:pPr>
      <w:r>
        <w:rPr>
          <w:rFonts w:ascii="Calibri" w:hAnsi="Calibri"/>
          <w:b w:val="0"/>
          <w:i w:val="0"/>
          <w:color w:val="5F6B5F"/>
          <w:sz w:val="26"/>
        </w:rPr>
        <w:t>Projet d'études Bachelor 2 — Cahier des charges Chambre d'Agriculture</w:t>
      </w:r>
    </w:p>
    <w:p>
      <w:pPr>
        <w:spacing w:after="40" w:before="0"/>
        <w:jc w:val="center"/>
      </w:pPr>
      <w:r>
        <w:rPr>
          <w:rFonts w:ascii="Calibri" w:hAnsi="Calibri"/>
          <w:b/>
          <w:i w:val="0"/>
          <w:color w:val="2B2B2B"/>
          <w:sz w:val="26"/>
        </w:rPr>
        <w:t>Antoine SIMON</w:t>
      </w:r>
    </w:p>
    <w:p>
      <w:pPr>
        <w:spacing w:after="40" w:before="0"/>
        <w:jc w:val="center"/>
      </w:pPr>
      <w:r>
        <w:rPr>
          <w:rFonts w:ascii="Calibri" w:hAnsi="Calibri"/>
          <w:b w:val="0"/>
          <w:i w:val="0"/>
          <w:color w:val="5F6B5F"/>
          <w:sz w:val="24"/>
        </w:rPr>
        <w:t>Bachelor 2 Informatique — Sup de Vinci</w:t>
      </w:r>
    </w:p>
    <w:p>
      <w:pPr>
        <w:spacing w:after="0" w:before="0"/>
        <w:jc w:val="center"/>
      </w:pPr>
      <w:r>
        <w:rPr>
          <w:rFonts w:ascii="Calibri" w:hAnsi="Calibri"/>
          <w:b w:val="0"/>
          <w:i w:val="0"/>
          <w:color w:val="5F6B5F"/>
          <w:sz w:val="24"/>
        </w:rPr>
        <w:t>Septembre 2026</w:t>
      </w:r>
    </w:p>
    <w:p>
      <w:r>
        <w:br w:type="page"/>
      </w:r>
    </w:p>
    <w:p>
      <w:pPr>
        <w:spacing w:after="200" w:before="0"/>
      </w:pPr>
      <w:r>
        <w:rPr>
          <w:rFonts w:ascii="Cambria" w:hAnsi="Cambria"/>
          <w:b/>
          <w:i w:val="0"/>
          <w:color w:val="2C5F2D"/>
          <w:sz w:val="36"/>
        </w:rPr>
        <w:t>Sommaire</w:t>
      </w:r>
    </w:p>
    <w:p>
      <w:pPr>
        <w:spacing w:after="80" w:before="0"/>
      </w:pPr>
      <w:r>
        <w:rPr>
          <w:rFonts w:ascii="Calibri" w:hAnsi="Calibri"/>
          <w:b w:val="0"/>
          <w:i w:val="0"/>
          <w:color w:val="2B2B2B"/>
          <w:sz w:val="24"/>
        </w:rPr>
        <w:t>I. Contexte</w:t>
      </w:r>
    </w:p>
    <w:p>
      <w:pPr>
        <w:spacing w:after="80" w:before="0"/>
      </w:pPr>
      <w:r>
        <w:rPr>
          <w:rFonts w:ascii="Calibri" w:hAnsi="Calibri"/>
          <w:b w:val="0"/>
          <w:i w:val="0"/>
          <w:color w:val="2B2B2B"/>
          <w:sz w:val="24"/>
        </w:rPr>
        <w:t>II. Objectifs</w:t>
      </w:r>
    </w:p>
    <w:p>
      <w:pPr>
        <w:spacing w:after="80" w:before="0"/>
      </w:pPr>
      <w:r>
        <w:rPr>
          <w:rFonts w:ascii="Calibri" w:hAnsi="Calibri"/>
          <w:b w:val="0"/>
          <w:i w:val="0"/>
          <w:color w:val="2B2B2B"/>
          <w:sz w:val="24"/>
        </w:rPr>
        <w:t>III. Technologies imposées et justification</w:t>
      </w:r>
    </w:p>
    <w:p>
      <w:pPr>
        <w:spacing w:after="80" w:before="0"/>
      </w:pPr>
      <w:r>
        <w:rPr>
          <w:rFonts w:ascii="Calibri" w:hAnsi="Calibri"/>
          <w:b w:val="0"/>
          <w:i w:val="0"/>
          <w:color w:val="2B2B2B"/>
          <w:sz w:val="24"/>
        </w:rPr>
        <w:t>IV. Fonctionnalités principales</w:t>
      </w:r>
    </w:p>
    <w:p>
      <w:pPr>
        <w:spacing w:after="80" w:before="0"/>
      </w:pPr>
      <w:r>
        <w:rPr>
          <w:rFonts w:ascii="Calibri" w:hAnsi="Calibri"/>
          <w:b w:val="0"/>
          <w:i w:val="0"/>
          <w:color w:val="2B2B2B"/>
          <w:sz w:val="24"/>
        </w:rPr>
        <w:t>V. Architecture technique</w:t>
      </w:r>
    </w:p>
    <w:p>
      <w:pPr>
        <w:spacing w:after="80" w:before="0"/>
      </w:pPr>
      <w:r>
        <w:rPr>
          <w:rFonts w:ascii="Calibri" w:hAnsi="Calibri"/>
          <w:b w:val="0"/>
          <w:i w:val="0"/>
          <w:color w:val="2B2B2B"/>
          <w:sz w:val="24"/>
        </w:rPr>
        <w:t>VI. Déploiement</w:t>
      </w:r>
    </w:p>
    <w:p>
      <w:pPr>
        <w:spacing w:after="80" w:before="0"/>
      </w:pPr>
      <w:r>
        <w:rPr>
          <w:rFonts w:ascii="Calibri" w:hAnsi="Calibri"/>
          <w:b w:val="0"/>
          <w:i w:val="0"/>
          <w:color w:val="2B2B2B"/>
          <w:sz w:val="24"/>
        </w:rPr>
        <w:t>VII. Résultats mesurés</w:t>
      </w:r>
    </w:p>
    <w:p>
      <w:pPr>
        <w:spacing w:after="80" w:before="0"/>
      </w:pPr>
      <w:r>
        <w:rPr>
          <w:rFonts w:ascii="Calibri" w:hAnsi="Calibri"/>
          <w:b w:val="0"/>
          <w:i w:val="0"/>
          <w:color w:val="2B2B2B"/>
          <w:sz w:val="24"/>
        </w:rPr>
        <w:t>VIII. Sécurité</w:t>
      </w:r>
    </w:p>
    <w:p>
      <w:pPr>
        <w:spacing w:after="80" w:before="0"/>
      </w:pPr>
      <w:r>
        <w:rPr>
          <w:rFonts w:ascii="Calibri" w:hAnsi="Calibri"/>
          <w:b w:val="0"/>
          <w:i w:val="0"/>
          <w:color w:val="2B2B2B"/>
          <w:sz w:val="24"/>
        </w:rPr>
        <w:t>IX. Livrables et conformité au cahier des charges</w:t>
      </w:r>
    </w:p>
    <w:p>
      <w:pPr>
        <w:spacing w:after="80" w:before="0"/>
      </w:pPr>
      <w:r>
        <w:rPr>
          <w:rFonts w:ascii="Calibri" w:hAnsi="Calibri"/>
          <w:b w:val="0"/>
          <w:i w:val="0"/>
          <w:color w:val="2B2B2B"/>
          <w:sz w:val="24"/>
        </w:rPr>
        <w:t>X. Limites connues et pistes d'amélioration</w:t>
      </w:r>
    </w:p>
    <w:p>
      <w:pPr>
        <w:spacing w:after="80" w:before="0"/>
      </w:pPr>
      <w:r>
        <w:rPr>
          <w:rFonts w:ascii="Calibri" w:hAnsi="Calibri"/>
          <w:b w:val="0"/>
          <w:i w:val="0"/>
          <w:color w:val="2B2B2B"/>
          <w:sz w:val="24"/>
        </w:rPr>
        <w:t>XI. Conclusion</w:t>
      </w:r>
    </w:p>
    <w:p>
      <w:pPr>
        <w:spacing w:after="200" w:before="80"/>
      </w:pPr>
      <w:r>
        <w:rPr>
          <w:rFonts w:ascii="Cambria" w:hAnsi="Cambria"/>
          <w:b/>
          <w:i w:val="0"/>
          <w:color w:val="2C5F2D"/>
          <w:sz w:val="40"/>
        </w:rPr>
        <w:t>I. Contexte</w:t>
      </w:r>
    </w:p>
    <w:p>
      <w:pPr>
        <w:spacing w:after="120" w:before="0"/>
      </w:pPr>
      <w:r>
        <w:rPr>
          <w:rFonts w:ascii="Calibri" w:hAnsi="Calibri"/>
          <w:b w:val="0"/>
          <w:i w:val="0"/>
          <w:color w:val="2B2B2B"/>
          <w:sz w:val="22"/>
        </w:rPr>
        <w:t>Ce projet est réalisé par un étudiant de Bachelor 2 informatique à Sup de Vinci, dans le cadre d'une demande formulée par la Chambre d'Agriculture. L'objectif du cahier des charges est de concevoir une application mobile s'appuyant sur trois technologies étudiées durant les deux années de Bachelor, intégrant une logique d'intelligence artificielle simple, déployée sur une infrastructure cloud, et illustrant une architecture réseau simplifiée.</w:t>
      </w:r>
    </w:p>
    <w:p>
      <w:pPr>
        <w:spacing w:after="120" w:before="0"/>
      </w:pPr>
      <w:r>
        <w:rPr>
          <w:rFonts w:ascii="Calibri" w:hAnsi="Calibri"/>
          <w:b w:val="0"/>
          <w:i w:val="0"/>
          <w:color w:val="2B2B2B"/>
          <w:sz w:val="22"/>
        </w:rPr>
        <w:t>PlantDiag répond à un besoin agricole concret : les agriculteurs mettent souvent plusieurs jours à identifier une maladie sur leurs cultures, faute d'outil accessible. L'application propose un diagnostic en quelques secondes à partir d'une simple photo, couplé à une surveillance continue des parcelles par capteurs et à des alertes météo-sanitaires.</w:t>
      </w:r>
    </w:p>
    <w:p>
      <w:r>
        <w:br w:type="page"/>
      </w:r>
    </w:p>
    <w:p>
      <w:pPr>
        <w:spacing w:after="200" w:before="80"/>
      </w:pPr>
      <w:r>
        <w:rPr>
          <w:rFonts w:ascii="Cambria" w:hAnsi="Cambria"/>
          <w:b/>
          <w:i w:val="0"/>
          <w:color w:val="2C5F2D"/>
          <w:sz w:val="40"/>
        </w:rPr>
        <w:t>II. Objectifs</w:t>
      </w:r>
    </w:p>
    <w:p>
      <w:pPr>
        <w:spacing w:after="120" w:before="0"/>
      </w:pPr>
      <w:r>
        <w:rPr>
          <w:rFonts w:ascii="Calibri" w:hAnsi="Calibri"/>
          <w:b w:val="0"/>
          <w:i w:val="0"/>
          <w:color w:val="2B2B2B"/>
          <w:sz w:val="22"/>
        </w:rPr>
        <w:t>Le cahier des charges fixe quatre objectifs. Chacun est traité ci-dessous avec son état réel.</w:t>
      </w:r>
    </w:p>
    <w:p>
      <w:pPr>
        <w:spacing w:after="80"/>
      </w:pPr>
      <w:r>
        <w:rPr>
          <w:b/>
          <w:color w:val="2C5F2D"/>
          <w:sz w:val="22"/>
        </w:rPr>
        <w:t xml:space="preserve">[Fait] </w:t>
      </w:r>
      <w:r>
        <w:rPr>
          <w:b/>
          <w:sz w:val="22"/>
        </w:rPr>
        <w:t xml:space="preserve">Application complète (frontend + backend) — </w:t>
      </w:r>
      <w:r>
        <w:rPr>
          <w:sz w:val="22"/>
        </w:rPr>
        <w:t>Interface web responsive (HTML/CSS/JS) et API REST FastAPI, 18 endpoints.</w:t>
      </w:r>
    </w:p>
    <w:p>
      <w:pPr>
        <w:spacing w:after="80"/>
      </w:pPr>
      <w:r>
        <w:rPr>
          <w:b/>
          <w:color w:val="2C5F2D"/>
          <w:sz w:val="22"/>
        </w:rPr>
        <w:t xml:space="preserve">[Fait] </w:t>
      </w:r>
      <w:r>
        <w:rPr>
          <w:b/>
          <w:sz w:val="22"/>
        </w:rPr>
        <w:t xml:space="preserve">Fonctionnalité IA (diagnostic, prédiction, recommandation) — </w:t>
      </w:r>
      <w:r>
        <w:rPr>
          <w:sz w:val="22"/>
        </w:rPr>
        <w:t>Diagnostic par photo via un modèle entraîné (transfer learning MobileNetV2), avec recommandations de traitement par maladie.</w:t>
      </w:r>
    </w:p>
    <w:p>
      <w:pPr>
        <w:spacing w:after="80"/>
      </w:pPr>
      <w:r>
        <w:rPr>
          <w:b/>
          <w:color w:val="2C5F2D"/>
          <w:sz w:val="22"/>
        </w:rPr>
        <w:t xml:space="preserve">[Fait] </w:t>
      </w:r>
      <w:r>
        <w:rPr>
          <w:b/>
          <w:sz w:val="22"/>
        </w:rPr>
        <w:t xml:space="preserve">Déploiement sur infrastructure cloud — </w:t>
      </w:r>
      <w:r>
        <w:rPr>
          <w:sz w:val="22"/>
        </w:rPr>
        <w:t>AWS EC2, conteneurisé Docker, accessible publiquement à l'adresse http://13.51.48.254:8000.</w:t>
      </w:r>
    </w:p>
    <w:p>
      <w:pPr>
        <w:spacing w:after="80"/>
      </w:pPr>
      <w:r>
        <w:rPr>
          <w:b/>
          <w:color w:val="2C5F2D"/>
          <w:sz w:val="22"/>
        </w:rPr>
        <w:t xml:space="preserve">[Fait] </w:t>
      </w:r>
      <w:r>
        <w:rPr>
          <w:b/>
          <w:sz w:val="22"/>
        </w:rPr>
        <w:t xml:space="preserve">Architecture réseau simplifiée (capteurs, serveurs, utilisateurs) — </w:t>
      </w:r>
      <w:r>
        <w:rPr>
          <w:sz w:val="22"/>
        </w:rPr>
        <w:t>Couche capteurs IoT (simulée) → API → base de données, schématisée en détail section V.</w:t>
      </w:r>
    </w:p>
    <w:p>
      <w:r>
        <w:br w:type="page"/>
      </w:r>
    </w:p>
    <w:p>
      <w:pPr>
        <w:spacing w:after="200" w:before="80"/>
      </w:pPr>
      <w:r>
        <w:rPr>
          <w:rFonts w:ascii="Cambria" w:hAnsi="Cambria"/>
          <w:b/>
          <w:i w:val="0"/>
          <w:color w:val="2C5F2D"/>
          <w:sz w:val="40"/>
        </w:rPr>
        <w:t>III. Technologies imposées et justification</w:t>
      </w:r>
    </w:p>
    <w:p>
      <w:pPr>
        <w:spacing w:after="120" w:before="0"/>
      </w:pPr>
      <w:r>
        <w:rPr>
          <w:rFonts w:ascii="Calibri" w:hAnsi="Calibri"/>
          <w:b w:val="0"/>
          <w:i w:val="0"/>
          <w:color w:val="2B2B2B"/>
          <w:sz w:val="22"/>
        </w:rPr>
        <w:t>Le cahier des charges impose le choix de trois technologies parmi celles étudiées en Bachelor, couvrant le backend/API, la base de données et l'infrastructure de déploiement. Les choix retenus sont justifiés ci-dessous selon les trois critères demandés : pertinence technique et pédagogique, compatibilité entre les technologies, contraintes de déploiement et de sécurité.</w:t>
      </w:r>
    </w:p>
    <w:p>
      <w:pPr>
        <w:spacing w:after="120" w:before="280"/>
      </w:pPr>
      <w:r>
        <w:rPr>
          <w:rFonts w:ascii="Cambria" w:hAnsi="Cambria"/>
          <w:b/>
          <w:i w:val="0"/>
          <w:color w:val="2C5F2D"/>
          <w:sz w:val="28"/>
        </w:rPr>
        <w:t>1. FastAPI (Python) — Backend / API</w:t>
      </w:r>
    </w:p>
    <w:p>
      <w:pPr>
        <w:pStyle w:val="ListBullet"/>
        <w:spacing w:after="60"/>
      </w:pPr>
      <w:r>
        <w:rPr>
          <w:b/>
          <w:sz w:val="22"/>
        </w:rPr>
        <w:t xml:space="preserve">Pertinence technique : </w:t>
      </w:r>
      <w:r>
        <w:rPr>
          <w:sz w:val="22"/>
        </w:rPr>
        <w:t>Framework asynchrone moderne, validation de données intégrée (Pydantic), documentation interactive générée automatiquement (Swagger UI).</w:t>
      </w:r>
    </w:p>
    <w:p>
      <w:pPr>
        <w:pStyle w:val="ListBullet"/>
        <w:spacing w:after="60"/>
      </w:pPr>
      <w:r>
        <w:rPr>
          <w:b/>
          <w:sz w:val="22"/>
        </w:rPr>
        <w:t xml:space="preserve">Pertinence pédagogique : </w:t>
      </w:r>
      <w:r>
        <w:rPr>
          <w:sz w:val="22"/>
        </w:rPr>
        <w:t>Python est la technologie IA étudiée en Bachelor 2 (scikit-learn, TensorFlow) ; FastAPI s'intègre nativement avec l'écosystème utilisé pour le modèle de diagnostic.</w:t>
      </w:r>
    </w:p>
    <w:p>
      <w:pPr>
        <w:pStyle w:val="ListBullet"/>
        <w:spacing w:after="60"/>
      </w:pPr>
      <w:r>
        <w:rPr>
          <w:b/>
          <w:sz w:val="22"/>
        </w:rPr>
        <w:t xml:space="preserve">Compatibilité : </w:t>
      </w:r>
      <w:r>
        <w:rPr>
          <w:sz w:val="22"/>
        </w:rPr>
        <w:t>Communique avec PostgreSQL via SQLAlchemy (ORM), s'exécute dans un conteneur Docker identique en développement et en production.</w:t>
      </w:r>
    </w:p>
    <w:p>
      <w:pPr>
        <w:spacing w:after="120" w:before="280"/>
      </w:pPr>
      <w:r>
        <w:rPr>
          <w:rFonts w:ascii="Cambria" w:hAnsi="Cambria"/>
          <w:b/>
          <w:i w:val="0"/>
          <w:color w:val="2C5F2D"/>
          <w:sz w:val="28"/>
        </w:rPr>
        <w:t>2. PostgreSQL 15 — Base de données</w:t>
      </w:r>
    </w:p>
    <w:p>
      <w:pPr>
        <w:pStyle w:val="ListBullet"/>
        <w:spacing w:after="60"/>
      </w:pPr>
      <w:r>
        <w:rPr>
          <w:b/>
          <w:sz w:val="22"/>
        </w:rPr>
        <w:t xml:space="preserve">Pertinence technique : </w:t>
      </w:r>
      <w:r>
        <w:rPr>
          <w:sz w:val="22"/>
        </w:rPr>
        <w:t>Transactions ACID, schéma relationnel adapté aux relations utilisateur → parcelle → diagnostic → relevé capteur, indexation performante.</w:t>
      </w:r>
    </w:p>
    <w:p>
      <w:pPr>
        <w:pStyle w:val="ListBullet"/>
        <w:spacing w:after="60"/>
      </w:pPr>
      <w:r>
        <w:rPr>
          <w:b/>
          <w:sz w:val="22"/>
        </w:rPr>
        <w:t xml:space="preserve">Pertinence pédagogique : </w:t>
      </w:r>
      <w:r>
        <w:rPr>
          <w:sz w:val="22"/>
        </w:rPr>
        <w:t>Le relationnel et le SQL font partie du socle Bachelor ; PostgreSQL est un standard industriel, y compris dans l'agritech.</w:t>
      </w:r>
    </w:p>
    <w:p>
      <w:pPr>
        <w:pStyle w:val="ListBullet"/>
        <w:spacing w:after="60"/>
      </w:pPr>
      <w:r>
        <w:rPr>
          <w:b/>
          <w:sz w:val="22"/>
        </w:rPr>
        <w:t xml:space="preserve">Compatibilité : </w:t>
      </w:r>
      <w:r>
        <w:rPr>
          <w:sz w:val="22"/>
        </w:rPr>
        <w:t>Image Docker officielle, migration possible vers AWS RDS sans changement de code applicatif (ORM SQLAlchemy).</w:t>
      </w:r>
    </w:p>
    <w:p>
      <w:pPr>
        <w:spacing w:after="120" w:before="280"/>
      </w:pPr>
      <w:r>
        <w:rPr>
          <w:rFonts w:ascii="Cambria" w:hAnsi="Cambria"/>
          <w:b/>
          <w:i w:val="0"/>
          <w:color w:val="2C5F2D"/>
          <w:sz w:val="28"/>
        </w:rPr>
        <w:t>3. Docker + AWS EC2 — Infrastructure et déploiement</w:t>
      </w:r>
    </w:p>
    <w:p>
      <w:pPr>
        <w:pStyle w:val="ListBullet"/>
        <w:spacing w:after="60"/>
      </w:pPr>
      <w:r>
        <w:rPr>
          <w:b/>
          <w:sz w:val="22"/>
        </w:rPr>
        <w:t xml:space="preserve">Pertinence technique : </w:t>
      </w:r>
      <w:r>
        <w:rPr>
          <w:sz w:val="22"/>
        </w:rPr>
        <w:t>Conteneurisation : environnement reproductible, infrastructure versionnée (docker-compose.yml), déploiement en une seule commande.</w:t>
      </w:r>
    </w:p>
    <w:p>
      <w:pPr>
        <w:pStyle w:val="ListBullet"/>
        <w:spacing w:after="60"/>
      </w:pPr>
      <w:r>
        <w:rPr>
          <w:b/>
          <w:sz w:val="22"/>
        </w:rPr>
        <w:t xml:space="preserve">Pertinence pédagogique : </w:t>
      </w:r>
      <w:r>
        <w:rPr>
          <w:sz w:val="22"/>
        </w:rPr>
        <w:t>Docker et le cloud sont étudiés en Bachelor 1 et 2 ; ce sont des compétences directement transférables en entreprise.</w:t>
      </w:r>
    </w:p>
    <w:p>
      <w:pPr>
        <w:pStyle w:val="ListBullet"/>
        <w:spacing w:after="60"/>
      </w:pPr>
      <w:r>
        <w:rPr>
          <w:b/>
          <w:sz w:val="22"/>
        </w:rPr>
        <w:t xml:space="preserve">Contraintes de déploiement : </w:t>
      </w:r>
      <w:r>
        <w:rPr>
          <w:sz w:val="22"/>
        </w:rPr>
        <w:t>AWS EC2 t2.micro, gratuit 12 mois, accessible publiquement en HTTP ; migration possible vers Azure Container Instances ou une VM on-premise sans changement d'image Docker (non testé pour ce projet).</w:t>
      </w:r>
    </w:p>
    <w:p>
      <w:pPr>
        <w:pStyle w:val="ListBullet"/>
        <w:spacing w:after="60"/>
      </w:pPr>
      <w:r>
        <w:rPr>
          <w:b/>
          <w:sz w:val="22"/>
        </w:rPr>
        <w:t xml:space="preserve">Contraintes de sécurité : </w:t>
      </w:r>
      <w:r>
        <w:rPr>
          <w:sz w:val="22"/>
        </w:rPr>
        <w:t>Authentification JWT + mots de passe hachés Bcrypt, validation systématique des entrées (Pydantic), CORS configuré. HTTPS non activé sur le déploiement actuel (accès direct par IP, sans nom de domaine) — limite connue, voir section X.</w:t>
      </w:r>
    </w:p>
    <w:p>
      <w:pPr>
        <w:spacing w:after="80" w:before="160"/>
      </w:pPr>
      <w:r>
        <w:rPr>
          <w:rFonts w:ascii="Calibri" w:hAnsi="Calibri"/>
          <w:b/>
          <w:i w:val="0"/>
          <w:color w:val="5A8A3A"/>
          <w:sz w:val="24"/>
        </w:rPr>
        <w:t>Décisions écartées</w:t>
      </w:r>
    </w:p>
    <w:p>
      <w:pPr>
        <w:pStyle w:val="ListBullet"/>
        <w:spacing w:after="60"/>
      </w:pPr>
      <w:r>
        <w:rPr>
          <w:sz w:val="22"/>
        </w:rPr>
        <w:t>Node.js écarté : l'écosystème IA Python (TensorFlow) est plus mature et directement réutilisable pour le modèle de diagnostic.</w:t>
      </w:r>
    </w:p>
    <w:p>
      <w:pPr>
        <w:pStyle w:val="ListBullet"/>
        <w:spacing w:after="60"/>
      </w:pPr>
      <w:r>
        <w:rPr>
          <w:sz w:val="22"/>
        </w:rPr>
        <w:t>MongoDB écarté : les données du projet sont fortement relationnelles (utilisateur → parcelle → diagnostic), un schéma SQL avec garanties ACID est plus adapté qu'un stockage documentaire.</w:t>
      </w:r>
    </w:p>
    <w:p>
      <w:pPr>
        <w:pStyle w:val="ListBullet"/>
        <w:spacing w:after="60"/>
      </w:pPr>
      <w:r>
        <w:rPr>
          <w:sz w:val="22"/>
        </w:rPr>
        <w:t>Kubernetes écarté : disproportionné pour un MVP à l'échelle actuelle (usage pédagogique) ; Docker Compose suffit, une migration reste possible plus tard.</w:t>
      </w:r>
    </w:p>
    <w:p>
      <w:r>
        <w:br w:type="page"/>
      </w:r>
    </w:p>
    <w:p>
      <w:pPr>
        <w:spacing w:after="200" w:before="80"/>
      </w:pPr>
      <w:r>
        <w:rPr>
          <w:rFonts w:ascii="Cambria" w:hAnsi="Cambria"/>
          <w:b/>
          <w:i w:val="0"/>
          <w:color w:val="2C5F2D"/>
          <w:sz w:val="40"/>
        </w:rPr>
        <w:t>IV. Fonctionnalités principales</w:t>
      </w:r>
    </w:p>
    <w:p>
      <w:pPr>
        <w:spacing w:after="120" w:before="0"/>
      </w:pPr>
      <w:r>
        <w:rPr>
          <w:rFonts w:ascii="Calibri" w:hAnsi="Calibri"/>
          <w:b w:val="0"/>
          <w:i w:val="0"/>
          <w:color w:val="2B2B2B"/>
          <w:sz w:val="22"/>
        </w:rPr>
        <w:t>Le cahier des charges détaille cinq blocs fonctionnels (IV.a à IV.e). État réel de chacun :</w:t>
      </w:r>
    </w:p>
    <w:p>
      <w:pPr>
        <w:spacing w:after="120" w:before="280"/>
      </w:pPr>
      <w:r>
        <w:rPr>
          <w:rFonts w:ascii="Cambria" w:hAnsi="Cambria"/>
          <w:b/>
          <w:i w:val="0"/>
          <w:color w:val="2C5F2D"/>
          <w:sz w:val="28"/>
        </w:rPr>
        <w:t>a. Tableau de bord utilisateur</w:t>
      </w:r>
    </w:p>
    <w:p>
      <w:pPr>
        <w:spacing w:after="80"/>
      </w:pPr>
      <w:r>
        <w:rPr>
          <w:b/>
          <w:color w:val="2C5F2D"/>
          <w:sz w:val="22"/>
        </w:rPr>
        <w:t xml:space="preserve">[Fait] </w:t>
      </w:r>
      <w:r>
        <w:rPr>
          <w:b/>
          <w:sz w:val="22"/>
        </w:rPr>
        <w:t xml:space="preserve">Vue synthétique des données agricoles — </w:t>
      </w:r>
      <w:r>
        <w:rPr>
          <w:sz w:val="22"/>
        </w:rPr>
        <w:t>Onglets Parcelles, Capteurs, Météo.</w:t>
      </w:r>
    </w:p>
    <w:p>
      <w:pPr>
        <w:spacing w:after="80"/>
      </w:pPr>
      <w:r>
        <w:rPr>
          <w:b/>
          <w:color w:val="2C5F2D"/>
          <w:sz w:val="22"/>
        </w:rPr>
        <w:t xml:space="preserve">[Fait] </w:t>
      </w:r>
      <w:r>
        <w:rPr>
          <w:b/>
          <w:sz w:val="22"/>
        </w:rPr>
        <w:t xml:space="preserve">Historique des diagnostics — </w:t>
      </w:r>
      <w:r>
        <w:rPr>
          <w:sz w:val="22"/>
        </w:rPr>
        <w:t>Tous les diagnostics conservés en base avec indice de confiance.</w:t>
      </w:r>
    </w:p>
    <w:p>
      <w:pPr>
        <w:spacing w:after="80"/>
      </w:pPr>
      <w:r>
        <w:rPr>
          <w:b/>
          <w:color w:val="2C5F2D"/>
          <w:sz w:val="22"/>
        </w:rPr>
        <w:t xml:space="preserve">[Fait] </w:t>
      </w:r>
      <w:r>
        <w:rPr>
          <w:b/>
          <w:sz w:val="22"/>
        </w:rPr>
        <w:t xml:space="preserve">Alertes IA personnalisées — </w:t>
      </w:r>
      <w:r>
        <w:rPr>
          <w:sz w:val="22"/>
        </w:rPr>
        <w:t>Croisement capteurs + diagnostic IA + météo, classées par gravité.</w:t>
      </w:r>
    </w:p>
    <w:p>
      <w:pPr>
        <w:spacing w:after="120" w:before="280"/>
      </w:pPr>
      <w:r>
        <w:rPr>
          <w:rFonts w:ascii="Cambria" w:hAnsi="Cambria"/>
          <w:b/>
          <w:i w:val="0"/>
          <w:color w:val="2C5F2D"/>
          <w:sz w:val="28"/>
        </w:rPr>
        <w:t>b. Module de diagnostic IA</w:t>
      </w:r>
    </w:p>
    <w:p>
      <w:pPr>
        <w:spacing w:after="80"/>
      </w:pPr>
      <w:r>
        <w:rPr>
          <w:b/>
          <w:color w:val="2C5F2D"/>
          <w:sz w:val="22"/>
        </w:rPr>
        <w:t xml:space="preserve">[Fait] </w:t>
      </w:r>
      <w:r>
        <w:rPr>
          <w:b/>
          <w:sz w:val="22"/>
        </w:rPr>
        <w:t xml:space="preserve">Saisie automatisée (photo) — </w:t>
      </w:r>
      <w:r>
        <w:rPr>
          <w:sz w:val="22"/>
        </w:rPr>
        <w:t>Upload ou capture photo directe depuis mobile.</w:t>
      </w:r>
    </w:p>
    <w:p>
      <w:pPr>
        <w:spacing w:after="80"/>
      </w:pPr>
      <w:r>
        <w:rPr>
          <w:b/>
          <w:color w:val="2C5F2D"/>
          <w:sz w:val="22"/>
        </w:rPr>
        <w:t xml:space="preserve">[Fait] </w:t>
      </w:r>
      <w:r>
        <w:rPr>
          <w:b/>
          <w:sz w:val="22"/>
        </w:rPr>
        <w:t xml:space="preserve">Traitement via modèle IA — </w:t>
      </w:r>
      <w:r>
        <w:rPr>
          <w:sz w:val="22"/>
        </w:rPr>
        <w:t>Transfer learning MobileNetV2 entraîné sur PlantVillage (38 maladies, 14 cultures).</w:t>
      </w:r>
    </w:p>
    <w:p>
      <w:pPr>
        <w:spacing w:after="80"/>
      </w:pPr>
      <w:r>
        <w:rPr>
          <w:b/>
          <w:color w:val="2C5F2D"/>
          <w:sz w:val="22"/>
        </w:rPr>
        <w:t xml:space="preserve">[Fait] </w:t>
      </w:r>
      <w:r>
        <w:rPr>
          <w:b/>
          <w:sz w:val="22"/>
        </w:rPr>
        <w:t xml:space="preserve">Affichage du résultat avec probabilité — </w:t>
      </w:r>
      <w:r>
        <w:rPr>
          <w:sz w:val="22"/>
        </w:rPr>
        <w:t>Format conforme à l'exemple du CDC (« probabilité de maladie : 78 % ») : maladie, indice de confiance, gravité, traitements (préventif, biologique, conventionnel).</w:t>
      </w:r>
    </w:p>
    <w:p>
      <w:pPr>
        <w:spacing w:after="120" w:before="280"/>
      </w:pPr>
      <w:r>
        <w:rPr>
          <w:rFonts w:ascii="Cambria" w:hAnsi="Cambria"/>
          <w:b/>
          <w:i w:val="0"/>
          <w:color w:val="2C5F2D"/>
          <w:sz w:val="28"/>
        </w:rPr>
        <w:t>c. Carte interactive</w:t>
      </w:r>
    </w:p>
    <w:p>
      <w:pPr>
        <w:spacing w:after="80"/>
      </w:pPr>
      <w:r>
        <w:rPr>
          <w:b/>
          <w:color w:val="B03A2E"/>
          <w:sz w:val="22"/>
        </w:rPr>
        <w:t xml:space="preserve">[Manquant] </w:t>
      </w:r>
      <w:r>
        <w:rPr>
          <w:b/>
          <w:sz w:val="22"/>
        </w:rPr>
        <w:t xml:space="preserve">Localisation des parcelles sur une carte — </w:t>
      </w:r>
      <w:r>
        <w:rPr>
          <w:sz w:val="22"/>
        </w:rPr>
        <w:t>Non implémenté. Les parcelles sont créées par nom et type de culture, sans carte ni géolocalisation par clic. Priorité n°1 des pistes d'amélioration (section X).</w:t>
      </w:r>
    </w:p>
    <w:p>
      <w:pPr>
        <w:spacing w:after="80"/>
      </w:pPr>
      <w:r>
        <w:rPr>
          <w:b/>
          <w:color w:val="B03A2E"/>
          <w:sz w:val="22"/>
        </w:rPr>
        <w:t xml:space="preserve">[Manquant] </w:t>
      </w:r>
      <w:r>
        <w:rPr>
          <w:b/>
          <w:sz w:val="22"/>
        </w:rPr>
        <w:t xml:space="preserve">Visualisation des données par zone — </w:t>
      </w:r>
      <w:r>
        <w:rPr>
          <w:sz w:val="22"/>
        </w:rPr>
        <w:t>Dépend de la carte interactive ci-dessus.</w:t>
      </w:r>
    </w:p>
    <w:p>
      <w:pPr>
        <w:spacing w:after="120" w:before="280"/>
      </w:pPr>
      <w:r>
        <w:rPr>
          <w:rFonts w:ascii="Cambria" w:hAnsi="Cambria"/>
          <w:b/>
          <w:i w:val="0"/>
          <w:color w:val="2C5F2D"/>
          <w:sz w:val="28"/>
        </w:rPr>
        <w:t>d. Espace communautaire (optionnel au CDC)</w:t>
      </w:r>
    </w:p>
    <w:p>
      <w:pPr>
        <w:spacing w:after="80"/>
      </w:pPr>
      <w:r>
        <w:rPr>
          <w:b/>
          <w:color w:val="B03A2E"/>
          <w:sz w:val="22"/>
        </w:rPr>
        <w:t xml:space="preserve">[Manquant] </w:t>
      </w:r>
      <w:r>
        <w:rPr>
          <w:b/>
          <w:sz w:val="22"/>
        </w:rPr>
        <w:t xml:space="preserve">Forum ou messagerie entre agriculteurs — </w:t>
      </w:r>
      <w:r>
        <w:rPr>
          <w:sz w:val="22"/>
        </w:rPr>
        <w:t>Non implémenté. Fonctionnalité explicitement marquée optionnelle dans le cahier des charges.</w:t>
      </w:r>
    </w:p>
    <w:p>
      <w:pPr>
        <w:spacing w:after="120" w:before="280"/>
      </w:pPr>
      <w:r>
        <w:rPr>
          <w:rFonts w:ascii="Cambria" w:hAnsi="Cambria"/>
          <w:b/>
          <w:i w:val="0"/>
          <w:color w:val="2C5F2D"/>
          <w:sz w:val="28"/>
        </w:rPr>
        <w:t>e. Administration (back-office)</w:t>
      </w:r>
    </w:p>
    <w:p>
      <w:pPr>
        <w:spacing w:after="80"/>
      </w:pPr>
      <w:r>
        <w:rPr>
          <w:b/>
          <w:color w:val="5A8A3A"/>
          <w:sz w:val="22"/>
        </w:rPr>
        <w:t xml:space="preserve">[Partiel] </w:t>
      </w:r>
      <w:r>
        <w:rPr>
          <w:b/>
          <w:sz w:val="22"/>
        </w:rPr>
        <w:t xml:space="preserve">Gestion des utilisateurs et des données — </w:t>
      </w:r>
      <w:r>
        <w:rPr>
          <w:sz w:val="22"/>
        </w:rPr>
        <w:t>Pas d'interface d'administration dédiée. La documentation Swagger (/docs) permet de tester et d'inspecter tous les endpoints, et un accès direct à PostgreSQL permet la gestion des données, mais il n'existe pas de back-office graphique.</w:t>
      </w:r>
    </w:p>
    <w:p>
      <w:r>
        <w:br w:type="page"/>
      </w:r>
    </w:p>
    <w:p>
      <w:pPr>
        <w:spacing w:after="200" w:before="80"/>
      </w:pPr>
      <w:r>
        <w:rPr>
          <w:rFonts w:ascii="Cambria" w:hAnsi="Cambria"/>
          <w:b/>
          <w:i w:val="0"/>
          <w:color w:val="2C5F2D"/>
          <w:sz w:val="40"/>
        </w:rPr>
        <w:t>V. Architecture technique</w:t>
      </w:r>
    </w:p>
    <w:p>
      <w:pPr>
        <w:spacing w:after="120" w:before="0"/>
      </w:pPr>
      <w:r>
        <w:rPr>
          <w:rFonts w:ascii="Calibri" w:hAnsi="Calibri"/>
          <w:b w:val="0"/>
          <w:i w:val="0"/>
          <w:color w:val="2B2B2B"/>
          <w:sz w:val="22"/>
        </w:rPr>
        <w:t>L'architecture suit les quatre éléments demandés par le cahier des charges : capteurs IoT, serveur de traitement, application cliente, IA embarquée.</w:t>
      </w:r>
    </w:p>
    <w:p>
      <w:pPr>
        <w:spacing w:after="120" w:before="280"/>
      </w:pPr>
      <w:r>
        <w:rPr>
          <w:rFonts w:ascii="Cambria" w:hAnsi="Cambria"/>
          <w:b/>
          <w:i w:val="0"/>
          <w:color w:val="2C5F2D"/>
          <w:sz w:val="28"/>
        </w:rPr>
        <w:t>Vue d'ensemble</w:t>
      </w:r>
    </w:p>
    <w:p>
      <w:pPr>
        <w:pStyle w:val="ListBullet"/>
        <w:spacing w:after="60"/>
      </w:pPr>
      <w:r>
        <w:rPr>
          <w:sz w:val="22"/>
        </w:rPr>
        <w:t>Capteurs IoT (simulés) : un boîtier virtuel par parcelle, six grandeurs relevées chaque minute (humidité et température du sol, température et hygrométrie de l'air, humectation foliaire, niveau de batterie). Le protocole HTTP utilisé est identique à celui qu'utiliseraient de vrais boîtiers : remplacer le simulateur ne demande aucune modification de l'API.</w:t>
      </w:r>
    </w:p>
    <w:p>
      <w:pPr>
        <w:pStyle w:val="ListBullet"/>
        <w:spacing w:after="60"/>
      </w:pPr>
      <w:r>
        <w:rPr>
          <w:sz w:val="22"/>
        </w:rPr>
        <w:t>Serveur cloud : instance AWS EC2, quatre conteneurs Docker (API FastAPI, PostgreSQL, Redis, simulateur IoT).</w:t>
      </w:r>
    </w:p>
    <w:p>
      <w:pPr>
        <w:pStyle w:val="ListBullet"/>
        <w:spacing w:after="60"/>
      </w:pPr>
      <w:r>
        <w:rPr>
          <w:sz w:val="22"/>
        </w:rPr>
        <w:t>Application cliente : interface web responsive, consommée depuis mobile ou PC via HTTP.</w:t>
      </w:r>
    </w:p>
    <w:p>
      <w:pPr>
        <w:pStyle w:val="ListBullet"/>
        <w:spacing w:after="60"/>
      </w:pPr>
      <w:r>
        <w:rPr>
          <w:sz w:val="22"/>
        </w:rPr>
        <w:t>IA embarquée : modèle TensorFlow Lite (4,9 Mo, quantifié float16) chargé en mémoire au démarrage du serveur, inférence locale sans appel à un service externe (~30-50 ms par photo).</w:t>
      </w:r>
    </w:p>
    <w:p>
      <w:pPr>
        <w:spacing w:after="120" w:before="280"/>
      </w:pPr>
      <w:r>
        <w:rPr>
          <w:rFonts w:ascii="Cambria" w:hAnsi="Cambria"/>
          <w:b/>
          <w:i w:val="0"/>
          <w:color w:val="2C5F2D"/>
          <w:sz w:val="28"/>
        </w:rPr>
        <w:t>Répartition en quatre tiers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1"/>
              </w:rPr>
              <w:t>Tier</w:t>
            </w:r>
          </w:p>
        </w:tc>
        <w:tc>
          <w:tcPr>
            <w:tcW w:type="dxa" w:w="3120"/>
          </w:tcPr>
          <w:p>
            <w:r/>
            <w:r>
              <w:rPr>
                <w:b/>
                <w:sz w:val="21"/>
              </w:rPr>
              <w:t>Rôle</w:t>
            </w:r>
          </w:p>
        </w:tc>
        <w:tc>
          <w:tcPr>
            <w:tcW w:type="dxa" w:w="3120"/>
          </w:tcPr>
          <w:p>
            <w:r/>
            <w:r>
              <w:rPr>
                <w:b/>
                <w:sz w:val="21"/>
              </w:rPr>
              <w:t>Technologie</w:t>
            </w:r>
          </w:p>
        </w:tc>
      </w:tr>
      <w:tr>
        <w:tc>
          <w:tcPr>
            <w:tcW w:type="dxa" w:w="3120"/>
          </w:tcPr>
          <w:p>
            <w:r/>
            <w:r>
              <w:rPr>
                <w:sz w:val="21"/>
              </w:rPr>
              <w:t>1 — Présentation</w:t>
            </w:r>
          </w:p>
        </w:tc>
        <w:tc>
          <w:tcPr>
            <w:tcW w:type="dxa" w:w="3120"/>
          </w:tcPr>
          <w:p>
            <w:r/>
            <w:r>
              <w:rPr>
                <w:sz w:val="21"/>
              </w:rPr>
              <w:t>Interface utilisateur, mobile et web</w:t>
            </w:r>
          </w:p>
        </w:tc>
        <w:tc>
          <w:tcPr>
            <w:tcW w:type="dxa" w:w="3120"/>
          </w:tcPr>
          <w:p>
            <w:r/>
            <w:r>
              <w:rPr>
                <w:sz w:val="21"/>
              </w:rPr>
              <w:t>HTML5 / CSS3 / JavaScript</w:t>
            </w:r>
          </w:p>
        </w:tc>
      </w:tr>
      <w:tr>
        <w:tc>
          <w:tcPr>
            <w:tcW w:type="dxa" w:w="3120"/>
          </w:tcPr>
          <w:p>
            <w:r/>
            <w:r>
              <w:rPr>
                <w:sz w:val="21"/>
              </w:rPr>
              <w:t>2 — Métier</w:t>
            </w:r>
          </w:p>
        </w:tc>
        <w:tc>
          <w:tcPr>
            <w:tcW w:type="dxa" w:w="3120"/>
          </w:tcPr>
          <w:p>
            <w:r/>
            <w:r>
              <w:rPr>
                <w:sz w:val="21"/>
              </w:rPr>
              <w:t>API REST, authentification, logique métier</w:t>
            </w:r>
          </w:p>
        </w:tc>
        <w:tc>
          <w:tcPr>
            <w:tcW w:type="dxa" w:w="3120"/>
          </w:tcPr>
          <w:p>
            <w:r/>
            <w:r>
              <w:rPr>
                <w:sz w:val="21"/>
              </w:rPr>
              <w:t>FastAPI (Python 3.11)</w:t>
            </w:r>
          </w:p>
        </w:tc>
      </w:tr>
      <w:tr>
        <w:tc>
          <w:tcPr>
            <w:tcW w:type="dxa" w:w="3120"/>
          </w:tcPr>
          <w:p>
            <w:r/>
            <w:r>
              <w:rPr>
                <w:sz w:val="21"/>
              </w:rPr>
              <w:t>3 — Données</w:t>
            </w:r>
          </w:p>
        </w:tc>
        <w:tc>
          <w:tcPr>
            <w:tcW w:type="dxa" w:w="3120"/>
          </w:tcPr>
          <w:p>
            <w:r/>
            <w:r>
              <w:rPr>
                <w:sz w:val="21"/>
              </w:rPr>
              <w:t>Persistance, cache et sessions</w:t>
            </w:r>
          </w:p>
        </w:tc>
        <w:tc>
          <w:tcPr>
            <w:tcW w:type="dxa" w:w="3120"/>
          </w:tcPr>
          <w:p>
            <w:r/>
            <w:r>
              <w:rPr>
                <w:sz w:val="21"/>
              </w:rPr>
              <w:t>PostgreSQL 15, Redis 7</w:t>
            </w:r>
          </w:p>
        </w:tc>
      </w:tr>
      <w:tr>
        <w:tc>
          <w:tcPr>
            <w:tcW w:type="dxa" w:w="3120"/>
          </w:tcPr>
          <w:p>
            <w:r/>
            <w:r>
              <w:rPr>
                <w:sz w:val="21"/>
              </w:rPr>
              <w:t>4 — IA et services</w:t>
            </w:r>
          </w:p>
        </w:tc>
        <w:tc>
          <w:tcPr>
            <w:tcW w:type="dxa" w:w="3120"/>
          </w:tcPr>
          <w:p>
            <w:r/>
            <w:r>
              <w:rPr>
                <w:sz w:val="21"/>
              </w:rPr>
              <w:t>Diagnostic, météo, géolocalisation</w:t>
            </w:r>
          </w:p>
        </w:tc>
        <w:tc>
          <w:tcPr>
            <w:tcW w:type="dxa" w:w="3120"/>
          </w:tcPr>
          <w:p>
            <w:r/>
            <w:r>
              <w:rPr>
                <w:sz w:val="21"/>
              </w:rPr>
              <w:t>TensorFlow Lite, Open-Meteo, Nominatim OSM</w:t>
            </w:r>
          </w:p>
        </w:tc>
      </w:tr>
    </w:tbl>
    <w:p>
      <w:pPr>
        <w:spacing w:after="200" w:before="0"/>
      </w:pPr>
    </w:p>
    <w:p>
      <w:pPr>
        <w:spacing w:after="120" w:before="280"/>
      </w:pPr>
      <w:r>
        <w:rPr>
          <w:rFonts w:ascii="Cambria" w:hAnsi="Cambria"/>
          <w:b/>
          <w:i w:val="0"/>
          <w:color w:val="2C5F2D"/>
          <w:sz w:val="28"/>
        </w:rPr>
        <w:t>Flux de données — Diagnostic par image</w:t>
      </w:r>
    </w:p>
    <w:p>
      <w:pPr>
        <w:pStyle w:val="ListBullet"/>
        <w:spacing w:after="60"/>
      </w:pPr>
      <w:r>
        <w:rPr>
          <w:sz w:val="22"/>
        </w:rPr>
        <w:t>1. L'utilisateur envoie une photo depuis l'application.</w:t>
      </w:r>
    </w:p>
    <w:p>
      <w:pPr>
        <w:pStyle w:val="ListBullet"/>
        <w:spacing w:after="60"/>
      </w:pPr>
      <w:r>
        <w:rPr>
          <w:sz w:val="22"/>
        </w:rPr>
        <w:t>2. FastAPI reçoit le fichier, le décode (Pillow) et le convertit en tableau RGB.</w:t>
      </w:r>
    </w:p>
    <w:p>
      <w:pPr>
        <w:pStyle w:val="ListBullet"/>
        <w:spacing w:after="60"/>
      </w:pPr>
      <w:r>
        <w:rPr>
          <w:sz w:val="22"/>
        </w:rPr>
        <w:t>3. Le modèle TensorFlow Lite classe l'image parmi 38 maladies.</w:t>
      </w:r>
    </w:p>
    <w:p>
      <w:pPr>
        <w:pStyle w:val="ListBullet"/>
        <w:spacing w:after="60"/>
      </w:pPr>
      <w:r>
        <w:rPr>
          <w:sz w:val="22"/>
        </w:rPr>
        <w:t>4. Le diagnostic (maladie, confiance, gravité, traitements) est renvoyé au client et enregistré en base, associé à la parcelle si applicable.</w:t>
      </w:r>
    </w:p>
    <w:p>
      <w:pPr>
        <w:spacing w:after="120" w:before="280"/>
      </w:pPr>
      <w:r>
        <w:rPr>
          <w:rFonts w:ascii="Cambria" w:hAnsi="Cambria"/>
          <w:b/>
          <w:i w:val="0"/>
          <w:color w:val="2C5F2D"/>
          <w:sz w:val="28"/>
        </w:rPr>
        <w:t>Flux de données — Surveillance par capteurs</w:t>
      </w:r>
    </w:p>
    <w:p>
      <w:pPr>
        <w:pStyle w:val="ListBullet"/>
        <w:spacing w:after="60"/>
      </w:pPr>
      <w:r>
        <w:rPr>
          <w:sz w:val="22"/>
        </w:rPr>
        <w:t>1. Chaque capteur envoie une trame JSON par minute vers POST /api/v1/sensors/readings.</w:t>
      </w:r>
    </w:p>
    <w:p>
      <w:pPr>
        <w:pStyle w:val="ListBullet"/>
        <w:spacing w:after="60"/>
      </w:pPr>
      <w:r>
        <w:rPr>
          <w:sz w:val="22"/>
        </w:rPr>
        <w:t>2. Les règles métier croisent le relevé avec le dernier diagnostic IA et la météo locale : humidité de feuillage élevée + température modérée → risque fongique ; humidité du sol basse → stress hydrique ; humidité du sol élevée → excès d'eau ; batterie faible ou silence prolongé → maintenance / capteur hors ligne.</w:t>
      </w:r>
    </w:p>
    <w:p>
      <w:pPr>
        <w:pStyle w:val="ListBullet"/>
        <w:spacing w:after="60"/>
      </w:pPr>
      <w:r>
        <w:rPr>
          <w:sz w:val="22"/>
        </w:rPr>
        <w:t>3. Les alertes générées sont classées par gravité et affichées dans l'onglet Alertes.</w:t>
      </w:r>
    </w:p>
    <w:p>
      <w:r>
        <w:br w:type="page"/>
      </w:r>
    </w:p>
    <w:p>
      <w:pPr>
        <w:spacing w:after="200" w:before="80"/>
      </w:pPr>
      <w:r>
        <w:rPr>
          <w:rFonts w:ascii="Cambria" w:hAnsi="Cambria"/>
          <w:b/>
          <w:i w:val="0"/>
          <w:color w:val="2C5F2D"/>
          <w:sz w:val="40"/>
        </w:rPr>
        <w:t>VI. Déploiement</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21"/>
              </w:rPr>
              <w:t>Élément</w:t>
            </w:r>
          </w:p>
        </w:tc>
        <w:tc>
          <w:tcPr>
            <w:tcW w:type="dxa" w:w="4680"/>
          </w:tcPr>
          <w:p>
            <w:r/>
            <w:r>
              <w:rPr>
                <w:b/>
                <w:sz w:val="21"/>
              </w:rPr>
              <w:t>Valeur</w:t>
            </w:r>
          </w:p>
        </w:tc>
      </w:tr>
      <w:tr>
        <w:tc>
          <w:tcPr>
            <w:tcW w:type="dxa" w:w="4680"/>
          </w:tcPr>
          <w:p>
            <w:r/>
            <w:r>
              <w:rPr>
                <w:sz w:val="21"/>
              </w:rPr>
              <w:t>Fournisseur</w:t>
            </w:r>
          </w:p>
        </w:tc>
        <w:tc>
          <w:tcPr>
            <w:tcW w:type="dxa" w:w="4680"/>
          </w:tcPr>
          <w:p>
            <w:r/>
            <w:r>
              <w:rPr>
                <w:sz w:val="21"/>
              </w:rPr>
              <w:t>AWS EC2</w:t>
            </w:r>
          </w:p>
        </w:tc>
      </w:tr>
      <w:tr>
        <w:tc>
          <w:tcPr>
            <w:tcW w:type="dxa" w:w="4680"/>
          </w:tcPr>
          <w:p>
            <w:r/>
            <w:r>
              <w:rPr>
                <w:sz w:val="21"/>
              </w:rPr>
              <w:t>Instance</w:t>
            </w:r>
          </w:p>
        </w:tc>
        <w:tc>
          <w:tcPr>
            <w:tcW w:type="dxa" w:w="4680"/>
          </w:tcPr>
          <w:p>
            <w:r/>
            <w:r>
              <w:rPr>
                <w:sz w:val="21"/>
              </w:rPr>
              <w:t>t2.micro (1 vCPU, 1 Go RAM) — gratuit 12 mois</w:t>
            </w:r>
          </w:p>
        </w:tc>
      </w:tr>
      <w:tr>
        <w:tc>
          <w:tcPr>
            <w:tcW w:type="dxa" w:w="4680"/>
          </w:tcPr>
          <w:p>
            <w:r/>
            <w:r>
              <w:rPr>
                <w:sz w:val="21"/>
              </w:rPr>
              <w:t>Système</w:t>
            </w:r>
          </w:p>
        </w:tc>
        <w:tc>
          <w:tcPr>
            <w:tcW w:type="dxa" w:w="4680"/>
          </w:tcPr>
          <w:p>
            <w:r/>
            <w:r>
              <w:rPr>
                <w:sz w:val="21"/>
              </w:rPr>
              <w:t>Ubuntu 22.04 LTS</w:t>
            </w:r>
          </w:p>
        </w:tc>
      </w:tr>
      <w:tr>
        <w:tc>
          <w:tcPr>
            <w:tcW w:type="dxa" w:w="4680"/>
          </w:tcPr>
          <w:p>
            <w:r/>
            <w:r>
              <w:rPr>
                <w:sz w:val="21"/>
              </w:rPr>
              <w:t>Adresse publique</w:t>
            </w:r>
          </w:p>
        </w:tc>
        <w:tc>
          <w:tcPr>
            <w:tcW w:type="dxa" w:w="4680"/>
          </w:tcPr>
          <w:p>
            <w:r/>
            <w:r>
              <w:rPr>
                <w:sz w:val="21"/>
              </w:rPr>
              <w:t>http://13.51.48.254:8000</w:t>
            </w:r>
          </w:p>
        </w:tc>
      </w:tr>
      <w:tr>
        <w:tc>
          <w:tcPr>
            <w:tcW w:type="dxa" w:w="4680"/>
          </w:tcPr>
          <w:p>
            <w:r/>
            <w:r>
              <w:rPr>
                <w:sz w:val="21"/>
              </w:rPr>
              <w:t>Conteneurisation</w:t>
            </w:r>
          </w:p>
        </w:tc>
        <w:tc>
          <w:tcPr>
            <w:tcW w:type="dxa" w:w="4680"/>
          </w:tcPr>
          <w:p>
            <w:r/>
            <w:r>
              <w:rPr>
                <w:sz w:val="21"/>
              </w:rPr>
              <w:t>Docker Compose — 4 services (API, PostgreSQL, Redis, simulateur IoT)</w:t>
            </w:r>
          </w:p>
        </w:tc>
      </w:tr>
      <w:tr>
        <w:tc>
          <w:tcPr>
            <w:tcW w:type="dxa" w:w="4680"/>
          </w:tcPr>
          <w:p>
            <w:r/>
            <w:r>
              <w:rPr>
                <w:sz w:val="21"/>
              </w:rPr>
              <w:t>Accès</w:t>
            </w:r>
          </w:p>
        </w:tc>
        <w:tc>
          <w:tcPr>
            <w:tcW w:type="dxa" w:w="4680"/>
          </w:tcPr>
          <w:p>
            <w:r/>
            <w:r>
              <w:rPr>
                <w:sz w:val="21"/>
              </w:rPr>
              <w:t>Public, HTTP (pas de nom de domaine ni de certificat HTTPS)</w:t>
            </w:r>
          </w:p>
        </w:tc>
      </w:tr>
    </w:tbl>
    <w:p>
      <w:pPr>
        <w:spacing w:after="200" w:before="0"/>
      </w:pPr>
    </w:p>
    <w:p>
      <w:pPr>
        <w:spacing w:after="120" w:before="0"/>
      </w:pPr>
      <w:r>
        <w:rPr>
          <w:rFonts w:ascii="Calibri" w:hAnsi="Calibri"/>
          <w:b w:val="0"/>
          <w:i w:val="0"/>
          <w:color w:val="2B2B2B"/>
          <w:sz w:val="22"/>
        </w:rPr>
        <w:t>Le cahier des charges autorise plusieurs environnements cloud (WMware vSphere, AWS, Azure). Le projet a été développé et validé sur AWS ; l'architecture Docker le rend portable sans modification vers Azure Container Instances ou une VM on-premise, mais ces deux options n'ont pas été testées en conditions réelles.</w:t>
      </w:r>
    </w:p>
    <w:p>
      <w:r>
        <w:br w:type="page"/>
      </w:r>
    </w:p>
    <w:p>
      <w:pPr>
        <w:spacing w:after="200" w:before="80"/>
      </w:pPr>
      <w:r>
        <w:rPr>
          <w:rFonts w:ascii="Cambria" w:hAnsi="Cambria"/>
          <w:b/>
          <w:i w:val="0"/>
          <w:color w:val="2C5F2D"/>
          <w:sz w:val="40"/>
        </w:rPr>
        <w:t>VII. Résultats mesurés</w:t>
      </w:r>
    </w:p>
    <w:p>
      <w:pPr>
        <w:spacing w:after="120" w:before="0"/>
      </w:pPr>
      <w:r>
        <w:rPr>
          <w:rFonts w:ascii="Calibri" w:hAnsi="Calibri"/>
          <w:b w:val="0"/>
          <w:i w:val="0"/>
          <w:color w:val="2B2B2B"/>
          <w:sz w:val="22"/>
        </w:rPr>
        <w:t>Toutes les valeurs ci-dessous sont des mesures réelles, pas des estimations. Le cahier des charges ne fixe aucun seuil chiffré minimal (ni précision, ni temps de réponse, ni nombre d'endpoints) : les cibles marquées « objectif interne » sont des critères de qualité fixés par l'auteur du projet, pas des exigences du CDC.</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21"/>
              </w:rPr>
              <w:t>Métrique</w:t>
            </w:r>
          </w:p>
        </w:tc>
        <w:tc>
          <w:tcPr>
            <w:tcW w:type="dxa" w:w="3120"/>
          </w:tcPr>
          <w:p>
            <w:r/>
            <w:r>
              <w:rPr>
                <w:b/>
                <w:sz w:val="21"/>
              </w:rPr>
              <w:t>Origine de la cible</w:t>
            </w:r>
          </w:p>
        </w:tc>
        <w:tc>
          <w:tcPr>
            <w:tcW w:type="dxa" w:w="3120"/>
          </w:tcPr>
          <w:p>
            <w:r/>
            <w:r>
              <w:rPr>
                <w:b/>
                <w:sz w:val="21"/>
              </w:rPr>
              <w:t>Résultat</w:t>
            </w:r>
          </w:p>
        </w:tc>
      </w:tr>
      <w:tr>
        <w:tc>
          <w:tcPr>
            <w:tcW w:type="dxa" w:w="3120"/>
          </w:tcPr>
          <w:p>
            <w:r/>
            <w:r>
              <w:rPr>
                <w:sz w:val="21"/>
              </w:rPr>
              <w:t>Précision du modèle IA</w:t>
            </w:r>
          </w:p>
        </w:tc>
        <w:tc>
          <w:tcPr>
            <w:tcW w:type="dxa" w:w="3120"/>
          </w:tcPr>
          <w:p>
            <w:r/>
            <w:r>
              <w:rPr>
                <w:sz w:val="21"/>
              </w:rPr>
              <w:t>Mesuré (jeu de test PlantVillage, 10 849 images)</w:t>
            </w:r>
          </w:p>
        </w:tc>
        <w:tc>
          <w:tcPr>
            <w:tcW w:type="dxa" w:w="3120"/>
          </w:tcPr>
          <w:p>
            <w:r/>
            <w:r>
              <w:rPr>
                <w:sz w:val="21"/>
              </w:rPr>
              <w:t>96,70 %</w:t>
            </w:r>
          </w:p>
        </w:tc>
      </w:tr>
      <w:tr>
        <w:tc>
          <w:tcPr>
            <w:tcW w:type="dxa" w:w="3120"/>
          </w:tcPr>
          <w:p>
            <w:r/>
            <w:r>
              <w:rPr>
                <w:sz w:val="21"/>
              </w:rPr>
              <w:t>Temps d'inférence</w:t>
            </w:r>
          </w:p>
        </w:tc>
        <w:tc>
          <w:tcPr>
            <w:tcW w:type="dxa" w:w="3120"/>
          </w:tcPr>
          <w:p>
            <w:r/>
            <w:r>
              <w:rPr>
                <w:sz w:val="21"/>
              </w:rPr>
              <w:t>Objectif interne</w:t>
            </w:r>
          </w:p>
        </w:tc>
        <w:tc>
          <w:tcPr>
            <w:tcW w:type="dxa" w:w="3120"/>
          </w:tcPr>
          <w:p>
            <w:r/>
            <w:r>
              <w:rPr>
                <w:sz w:val="21"/>
              </w:rPr>
              <w:t>~30-50 ms par photo</w:t>
            </w:r>
          </w:p>
        </w:tc>
      </w:tr>
      <w:tr>
        <w:tc>
          <w:tcPr>
            <w:tcW w:type="dxa" w:w="3120"/>
          </w:tcPr>
          <w:p>
            <w:r/>
            <w:r>
              <w:rPr>
                <w:sz w:val="21"/>
              </w:rPr>
              <w:t>Temps de réponse API (diagnostic complet)</w:t>
            </w:r>
          </w:p>
        </w:tc>
        <w:tc>
          <w:tcPr>
            <w:tcW w:type="dxa" w:w="3120"/>
          </w:tcPr>
          <w:p>
            <w:r/>
            <w:r>
              <w:rPr>
                <w:sz w:val="21"/>
              </w:rPr>
              <w:t>Objectif interne (&lt; 2 s)</w:t>
            </w:r>
          </w:p>
        </w:tc>
        <w:tc>
          <w:tcPr>
            <w:tcW w:type="dxa" w:w="3120"/>
          </w:tcPr>
          <w:p>
            <w:r/>
            <w:r>
              <w:rPr>
                <w:sz w:val="21"/>
              </w:rPr>
              <w:t>~1,5 s</w:t>
            </w:r>
          </w:p>
        </w:tc>
      </w:tr>
      <w:tr>
        <w:tc>
          <w:tcPr>
            <w:tcW w:type="dxa" w:w="3120"/>
          </w:tcPr>
          <w:p>
            <w:r/>
            <w:r>
              <w:rPr>
                <w:sz w:val="21"/>
              </w:rPr>
              <w:t>Taille du modèle déployé</w:t>
            </w:r>
          </w:p>
        </w:tc>
        <w:tc>
          <w:tcPr>
            <w:tcW w:type="dxa" w:w="3120"/>
          </w:tcPr>
          <w:p>
            <w:r/>
            <w:r>
              <w:rPr>
                <w:sz w:val="21"/>
              </w:rPr>
              <w:t>Contrainte technique (mobile-friendly)</w:t>
            </w:r>
          </w:p>
        </w:tc>
        <w:tc>
          <w:tcPr>
            <w:tcW w:type="dxa" w:w="3120"/>
          </w:tcPr>
          <w:p>
            <w:r/>
            <w:r>
              <w:rPr>
                <w:sz w:val="21"/>
              </w:rPr>
              <w:t>4,9 Mo (TFLite, float16)</w:t>
            </w:r>
          </w:p>
        </w:tc>
      </w:tr>
      <w:tr>
        <w:tc>
          <w:tcPr>
            <w:tcW w:type="dxa" w:w="3120"/>
          </w:tcPr>
          <w:p>
            <w:r/>
            <w:r>
              <w:rPr>
                <w:sz w:val="21"/>
              </w:rPr>
              <w:t>Endpoints API</w:t>
            </w:r>
          </w:p>
        </w:tc>
        <w:tc>
          <w:tcPr>
            <w:tcW w:type="dxa" w:w="3120"/>
          </w:tcPr>
          <w:p>
            <w:r/>
            <w:r>
              <w:rPr>
                <w:sz w:val="21"/>
              </w:rPr>
              <w:t>Objectif interne (5+)</w:t>
            </w:r>
          </w:p>
        </w:tc>
        <w:tc>
          <w:tcPr>
            <w:tcW w:type="dxa" w:w="3120"/>
          </w:tcPr>
          <w:p>
            <w:r/>
            <w:r>
              <w:rPr>
                <w:sz w:val="21"/>
              </w:rPr>
              <w:t>18</w:t>
            </w:r>
          </w:p>
        </w:tc>
      </w:tr>
      <w:tr>
        <w:tc>
          <w:tcPr>
            <w:tcW w:type="dxa" w:w="3120"/>
          </w:tcPr>
          <w:p>
            <w:r/>
            <w:r>
              <w:rPr>
                <w:sz w:val="21"/>
              </w:rPr>
              <w:t>Disponibilité</w:t>
            </w:r>
          </w:p>
        </w:tc>
        <w:tc>
          <w:tcPr>
            <w:tcW w:type="dxa" w:w="3120"/>
          </w:tcPr>
          <w:p>
            <w:r/>
            <w:r>
              <w:rPr>
                <w:sz w:val="21"/>
              </w:rPr>
              <w:t>Objectif interne</w:t>
            </w:r>
          </w:p>
        </w:tc>
        <w:tc>
          <w:tcPr>
            <w:tcW w:type="dxa" w:w="3120"/>
          </w:tcPr>
          <w:p>
            <w:r/>
            <w:r>
              <w:rPr>
                <w:sz w:val="21"/>
              </w:rPr>
              <w:t>24 h / 24 depuis le déploiement</w:t>
            </w:r>
          </w:p>
        </w:tc>
      </w:tr>
    </w:tbl>
    <w:p>
      <w:pPr>
        <w:spacing w:after="200" w:before="0"/>
      </w:pPr>
    </w:p>
    <w:p>
      <w:pPr>
        <w:spacing w:after="120" w:before="280"/>
      </w:pPr>
      <w:r>
        <w:rPr>
          <w:rFonts w:ascii="Cambria" w:hAnsi="Cambria"/>
          <w:b/>
          <w:i w:val="0"/>
          <w:color w:val="2C5F2D"/>
          <w:sz w:val="28"/>
        </w:rPr>
        <w:t>Méthodologie d'entraînement du modèle</w:t>
      </w:r>
    </w:p>
    <w:p>
      <w:pPr>
        <w:pStyle w:val="ListBullet"/>
        <w:spacing w:after="60"/>
      </w:pPr>
      <w:r>
        <w:rPr>
          <w:sz w:val="22"/>
        </w:rPr>
        <w:t>Données : PlantVillage, 54 305 photos réelles labellisées, 38 classes couvrant 14 cultures (pommier, myrtillier, cerisier, maïs, vigne, agrumes, pêcher, poivron, pomme de terre, framboisier, soja, courge, fraisier, tomate).</w:t>
      </w:r>
    </w:p>
    <w:p>
      <w:pPr>
        <w:pStyle w:val="ListBullet"/>
        <w:spacing w:after="60"/>
      </w:pPr>
      <w:r>
        <w:rPr>
          <w:sz w:val="22"/>
        </w:rPr>
        <w:t>Méthode : transfer learning sur MobileNetV2 pré-entraîné (ImageNet), poids du socle gelés, tête de classification entraînée sur les 43 456 images d'entraînement.</w:t>
      </w:r>
    </w:p>
    <w:p>
      <w:pPr>
        <w:pStyle w:val="ListBullet"/>
        <w:spacing w:after="60"/>
      </w:pPr>
      <w:r>
        <w:rPr>
          <w:sz w:val="22"/>
        </w:rPr>
        <w:t>Validation : la précision de 96,70 % est mesurée sur les 10 849 images du jeu de test, séparées du jeu d'entraînement avant tout apprentissage (aucune image de test vue pendant l'entraînement).</w:t>
      </w:r>
    </w:p>
    <w:p>
      <w:pPr>
        <w:pStyle w:val="ListBullet"/>
        <w:spacing w:after="60"/>
      </w:pPr>
      <w:r>
        <w:rPr>
          <w:sz w:val="22"/>
        </w:rPr>
        <w:t>Export : conversion TensorFlow Lite avec quantification float16, exécution via ai-edge-litert en production.</w:t>
      </w:r>
    </w:p>
    <w:p>
      <w:pPr>
        <w:spacing w:after="120" w:before="280"/>
      </w:pPr>
      <w:r>
        <w:rPr>
          <w:rFonts w:ascii="Cambria" w:hAnsi="Cambria"/>
          <w:b/>
          <w:i w:val="0"/>
          <w:color w:val="2C5F2D"/>
          <w:sz w:val="28"/>
        </w:rPr>
        <w:t>Limite du modèle : classification fermée</w:t>
      </w:r>
    </w:p>
    <w:p>
      <w:pPr>
        <w:spacing w:after="120" w:before="0"/>
      </w:pPr>
      <w:r>
        <w:rPr>
          <w:rFonts w:ascii="Calibri" w:hAnsi="Calibri"/>
          <w:b w:val="0"/>
          <w:i w:val="0"/>
          <w:color w:val="2B2B2B"/>
          <w:sz w:val="22"/>
        </w:rPr>
        <w:t>Le modèle ne peut reconnaître que les 38 maladies sur lesquelles il a été entraîné. Face à une maladie absente de cette liste, il ne peut pas répondre « inconnu » : il choisit systématiquement la classe connue la plus proche, avec une confiance parfois élevée. Exemple constaté en test : une photo de charbon du maïs (maladie non présente dans PlantVillage) a été classée « tache bactérienne du poivron » avec une confiance proche de 100 %. Ce n'est pas un bug corrigible par un seuil de confiance seul — c'est une limite structurelle de tout classifieur fermé, y compris les solutions commerciales du marché, qui ne couvrent jamais « toutes les plantes ».</w:t>
      </w:r>
    </w:p>
    <w:p>
      <w:r>
        <w:br w:type="page"/>
      </w:r>
    </w:p>
    <w:p>
      <w:pPr>
        <w:spacing w:after="200" w:before="80"/>
      </w:pPr>
      <w:r>
        <w:rPr>
          <w:rFonts w:ascii="Cambria" w:hAnsi="Cambria"/>
          <w:b/>
          <w:i w:val="0"/>
          <w:color w:val="2C5F2D"/>
          <w:sz w:val="40"/>
        </w:rPr>
        <w:t>VIII. Sécurité</w:t>
      </w:r>
    </w:p>
    <w:p>
      <w:pPr>
        <w:spacing w:after="80"/>
      </w:pPr>
      <w:r>
        <w:rPr>
          <w:b/>
          <w:color w:val="2C5F2D"/>
          <w:sz w:val="22"/>
        </w:rPr>
        <w:t xml:space="preserve">[Fait] </w:t>
      </w:r>
      <w:r>
        <w:rPr>
          <w:b/>
          <w:sz w:val="22"/>
        </w:rPr>
        <w:t xml:space="preserve">Authentification — </w:t>
      </w:r>
      <w:r>
        <w:rPr>
          <w:sz w:val="22"/>
        </w:rPr>
        <w:t>Jeton JWT (validité 30 jours), mots de passe hachés avec Bcrypt et sel.</w:t>
      </w:r>
    </w:p>
    <w:p>
      <w:pPr>
        <w:spacing w:after="80"/>
      </w:pPr>
      <w:r>
        <w:rPr>
          <w:b/>
          <w:color w:val="2C5F2D"/>
          <w:sz w:val="22"/>
        </w:rPr>
        <w:t xml:space="preserve">[Fait] </w:t>
      </w:r>
      <w:r>
        <w:rPr>
          <w:b/>
          <w:sz w:val="22"/>
        </w:rPr>
        <w:t xml:space="preserve">Validation des entrées — </w:t>
      </w:r>
      <w:r>
        <w:rPr>
          <w:sz w:val="22"/>
        </w:rPr>
        <w:t>Schémas Pydantic sur tous les endpoints, taille d'image limitée à 10 Mo.</w:t>
      </w:r>
    </w:p>
    <w:p>
      <w:pPr>
        <w:spacing w:after="80"/>
      </w:pPr>
      <w:r>
        <w:rPr>
          <w:b/>
          <w:color w:val="2C5F2D"/>
          <w:sz w:val="22"/>
        </w:rPr>
        <w:t xml:space="preserve">[Fait] </w:t>
      </w:r>
      <w:r>
        <w:rPr>
          <w:b/>
          <w:sz w:val="22"/>
        </w:rPr>
        <w:t xml:space="preserve">CORS — </w:t>
      </w:r>
      <w:r>
        <w:rPr>
          <w:sz w:val="22"/>
        </w:rPr>
        <w:t>Activé ; à restreindre à un domaine précis pour une mise en production réelle.</w:t>
      </w:r>
    </w:p>
    <w:p>
      <w:pPr>
        <w:spacing w:after="80"/>
      </w:pPr>
      <w:r>
        <w:rPr>
          <w:b/>
          <w:color w:val="2C5F2D"/>
          <w:sz w:val="22"/>
        </w:rPr>
        <w:t xml:space="preserve">[Fait] </w:t>
      </w:r>
      <w:r>
        <w:rPr>
          <w:b/>
          <w:sz w:val="22"/>
        </w:rPr>
        <w:t xml:space="preserve">Isolation des données — </w:t>
      </w:r>
      <w:r>
        <w:rPr>
          <w:sz w:val="22"/>
        </w:rPr>
        <w:t>Chaque parcelle et diagnostic est rattaché à un utilisateur.</w:t>
      </w:r>
    </w:p>
    <w:p>
      <w:pPr>
        <w:spacing w:after="80"/>
      </w:pPr>
      <w:r>
        <w:rPr>
          <w:b/>
          <w:color w:val="B03A2E"/>
          <w:sz w:val="22"/>
        </w:rPr>
        <w:t xml:space="preserve">[Manquant] </w:t>
      </w:r>
      <w:r>
        <w:rPr>
          <w:b/>
          <w:sz w:val="22"/>
        </w:rPr>
        <w:t xml:space="preserve">Chiffrement du trafic (HTTPS) — </w:t>
      </w:r>
      <w:r>
        <w:rPr>
          <w:sz w:val="22"/>
        </w:rPr>
        <w:t>Non activé : le déploiement actuel est accessible en HTTP direct sur l'IP AWS, sans nom de domaine ni certificat. À ajouter avant toute mise en production réelle.</w:t>
      </w:r>
    </w:p>
    <w:p>
      <w:r>
        <w:br w:type="page"/>
      </w:r>
    </w:p>
    <w:p>
      <w:pPr>
        <w:spacing w:after="200" w:before="80"/>
      </w:pPr>
      <w:r>
        <w:rPr>
          <w:rFonts w:ascii="Cambria" w:hAnsi="Cambria"/>
          <w:b/>
          <w:i w:val="0"/>
          <w:color w:val="2C5F2D"/>
          <w:sz w:val="40"/>
        </w:rPr>
        <w:t>IX. Livrables et conformité au cahier des charges</w:t>
      </w:r>
    </w:p>
    <w:p>
      <w:pPr>
        <w:spacing w:after="80"/>
      </w:pPr>
      <w:r>
        <w:rPr>
          <w:b/>
          <w:color w:val="2C5F2D"/>
          <w:sz w:val="22"/>
        </w:rPr>
        <w:t xml:space="preserve">[Fait] </w:t>
      </w:r>
      <w:r>
        <w:rPr>
          <w:b/>
          <w:sz w:val="22"/>
        </w:rPr>
        <w:t xml:space="preserve">Prototype d'application fonctionnelle — </w:t>
      </w:r>
      <w:r>
        <w:rPr>
          <w:sz w:val="22"/>
        </w:rPr>
        <w:t>En ligne à http://13.51.48.254:8000, 24 h / 24.</w:t>
      </w:r>
    </w:p>
    <w:p>
      <w:pPr>
        <w:spacing w:after="80"/>
      </w:pPr>
      <w:r>
        <w:rPr>
          <w:b/>
          <w:color w:val="2C5F2D"/>
          <w:sz w:val="22"/>
        </w:rPr>
        <w:t xml:space="preserve">[Fait] </w:t>
      </w:r>
      <w:r>
        <w:rPr>
          <w:b/>
          <w:sz w:val="22"/>
        </w:rPr>
        <w:t xml:space="preserve">Schéma d'architecture réseau — </w:t>
      </w:r>
      <w:r>
        <w:rPr>
          <w:sz w:val="22"/>
        </w:rPr>
        <w:t>Section V du présent rapport.</w:t>
      </w:r>
    </w:p>
    <w:p>
      <w:pPr>
        <w:spacing w:after="80"/>
      </w:pPr>
      <w:r>
        <w:rPr>
          <w:b/>
          <w:color w:val="2C5F2D"/>
          <w:sz w:val="22"/>
        </w:rPr>
        <w:t xml:space="preserve">[Fait] </w:t>
      </w:r>
      <w:r>
        <w:rPr>
          <w:b/>
          <w:sz w:val="22"/>
        </w:rPr>
        <w:t xml:space="preserve">Code source (dépôt Git) — </w:t>
      </w:r>
      <w:r>
        <w:rPr>
          <w:sz w:val="22"/>
        </w:rPr>
        <w:t>https://github.com/Antonito35/diagnositique-plante</w:t>
      </w:r>
    </w:p>
    <w:p>
      <w:pPr>
        <w:spacing w:after="80"/>
      </w:pPr>
      <w:r>
        <w:rPr>
          <w:b/>
          <w:color w:val="2C5F2D"/>
          <w:sz w:val="22"/>
        </w:rPr>
        <w:t xml:space="preserve">[Fait] </w:t>
      </w:r>
      <w:r>
        <w:rPr>
          <w:b/>
          <w:sz w:val="22"/>
        </w:rPr>
        <w:t xml:space="preserve">Soutenance orale (15 min) — </w:t>
      </w:r>
      <w:r>
        <w:rPr>
          <w:sz w:val="22"/>
        </w:rPr>
        <w:t>Support et script préparés (SOUTENANCE.pptx / SOUTENANCE.docx).</w:t>
      </w:r>
    </w:p>
    <w:p>
      <w:pPr>
        <w:spacing w:after="80"/>
      </w:pPr>
      <w:r>
        <w:rPr>
          <w:b/>
          <w:color w:val="2C5F2D"/>
          <w:sz w:val="22"/>
        </w:rPr>
        <w:t xml:space="preserve">[Fait] </w:t>
      </w:r>
      <w:r>
        <w:rPr>
          <w:b/>
          <w:sz w:val="22"/>
        </w:rPr>
        <w:t xml:space="preserve">Documentation technique complète — </w:t>
      </w:r>
      <w:r>
        <w:rPr>
          <w:sz w:val="22"/>
        </w:rPr>
        <w:t>Présent rapport, plus guide de déploiement et README.</w:t>
      </w:r>
    </w:p>
    <w:p>
      <w:pPr>
        <w:spacing w:after="120" w:before="200"/>
      </w:pPr>
      <w:r>
        <w:rPr>
          <w:rFonts w:ascii="Calibri" w:hAnsi="Calibri"/>
          <w:b w:val="0"/>
          <w:i w:val="0"/>
          <w:color w:val="2B2B2B"/>
          <w:sz w:val="22"/>
        </w:rPr>
        <w:t>Auto-évaluation par rapport aux cinq critères d'évaluation du cahier des charges :</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21"/>
              </w:rPr>
              <w:t>Critère du CDC</w:t>
            </w:r>
          </w:p>
        </w:tc>
        <w:tc>
          <w:tcPr>
            <w:tcW w:type="dxa" w:w="4680"/>
          </w:tcPr>
          <w:p>
            <w:r/>
            <w:r>
              <w:rPr>
                <w:b/>
                <w:sz w:val="21"/>
              </w:rPr>
              <w:t>Évaluation</w:t>
            </w:r>
          </w:p>
        </w:tc>
      </w:tr>
      <w:tr>
        <w:tc>
          <w:tcPr>
            <w:tcW w:type="dxa" w:w="4680"/>
          </w:tcPr>
          <w:p>
            <w:r/>
            <w:r>
              <w:rPr>
                <w:sz w:val="21"/>
              </w:rPr>
              <w:t>Pertinence de la solution et des technologies</w:t>
            </w:r>
          </w:p>
        </w:tc>
        <w:tc>
          <w:tcPr>
            <w:tcW w:type="dxa" w:w="4680"/>
          </w:tcPr>
          <w:p>
            <w:r/>
            <w:r>
              <w:rPr>
                <w:sz w:val="21"/>
              </w:rPr>
              <w:t>Diagnostic photo répond à un besoin réel ; 3 technologies imposées respectées et justifiées (section III).</w:t>
            </w:r>
          </w:p>
        </w:tc>
      </w:tr>
      <w:tr>
        <w:tc>
          <w:tcPr>
            <w:tcW w:type="dxa" w:w="4680"/>
          </w:tcPr>
          <w:p>
            <w:r/>
            <w:r>
              <w:rPr>
                <w:sz w:val="21"/>
              </w:rPr>
              <w:t>Qualité du développement (code, architecture, sécurité)</w:t>
            </w:r>
          </w:p>
        </w:tc>
        <w:tc>
          <w:tcPr>
            <w:tcW w:type="dxa" w:w="4680"/>
          </w:tcPr>
          <w:p>
            <w:r/>
            <w:r>
              <w:rPr>
                <w:sz w:val="21"/>
              </w:rPr>
              <w:t>Architecture 4 tiers, authentification JWT/Bcrypt ; limite connue : pas de HTTPS (section VIII).</w:t>
            </w:r>
          </w:p>
        </w:tc>
      </w:tr>
      <w:tr>
        <w:tc>
          <w:tcPr>
            <w:tcW w:type="dxa" w:w="4680"/>
          </w:tcPr>
          <w:p>
            <w:r/>
            <w:r>
              <w:rPr>
                <w:sz w:val="21"/>
              </w:rPr>
              <w:t>Fonctionnalités réalisées et expérience utilisateur</w:t>
            </w:r>
          </w:p>
        </w:tc>
        <w:tc>
          <w:tcPr>
            <w:tcW w:type="dxa" w:w="4680"/>
          </w:tcPr>
          <w:p>
            <w:r/>
            <w:r>
              <w:rPr>
                <w:sz w:val="21"/>
              </w:rPr>
              <w:t>Tableau de bord et diagnostic IA complets ; carte interactive et back-office non réalisés (section IV).</w:t>
            </w:r>
          </w:p>
        </w:tc>
      </w:tr>
      <w:tr>
        <w:tc>
          <w:tcPr>
            <w:tcW w:type="dxa" w:w="4680"/>
          </w:tcPr>
          <w:p>
            <w:r/>
            <w:r>
              <w:rPr>
                <w:sz w:val="21"/>
              </w:rPr>
              <w:t>Intégration IA et infrastructure cloud</w:t>
            </w:r>
          </w:p>
        </w:tc>
        <w:tc>
          <w:tcPr>
            <w:tcW w:type="dxa" w:w="4680"/>
          </w:tcPr>
          <w:p>
            <w:r/>
            <w:r>
              <w:rPr>
                <w:sz w:val="21"/>
              </w:rPr>
              <w:t>Modèle entraîné avec précision mesurée (96,70 %), déployé et fonctionnel sur AWS EC2.</w:t>
            </w:r>
          </w:p>
        </w:tc>
      </w:tr>
      <w:tr>
        <w:tc>
          <w:tcPr>
            <w:tcW w:type="dxa" w:w="4680"/>
          </w:tcPr>
          <w:p>
            <w:r/>
            <w:r>
              <w:rPr>
                <w:sz w:val="21"/>
              </w:rPr>
              <w:t>Qualité du rapport et de la soutenance</w:t>
            </w:r>
          </w:p>
        </w:tc>
        <w:tc>
          <w:tcPr>
            <w:tcW w:type="dxa" w:w="4680"/>
          </w:tcPr>
          <w:p>
            <w:r/>
            <w:r>
              <w:rPr>
                <w:sz w:val="21"/>
              </w:rPr>
              <w:t>Présent document, plus script et diaporama de soutenance.</w:t>
            </w:r>
          </w:p>
        </w:tc>
      </w:tr>
    </w:tbl>
    <w:p>
      <w:pPr>
        <w:spacing w:after="200" w:before="0"/>
      </w:pPr>
    </w:p>
    <w:p>
      <w:r>
        <w:br w:type="page"/>
      </w:r>
    </w:p>
    <w:p>
      <w:pPr>
        <w:spacing w:after="200" w:before="80"/>
      </w:pPr>
      <w:r>
        <w:rPr>
          <w:rFonts w:ascii="Cambria" w:hAnsi="Cambria"/>
          <w:b/>
          <w:i w:val="0"/>
          <w:color w:val="2C5F2D"/>
          <w:sz w:val="40"/>
        </w:rPr>
        <w:t>X. Limites connues et pistes d'amélioration</w:t>
      </w:r>
    </w:p>
    <w:p>
      <w:pPr>
        <w:spacing w:after="120" w:before="0"/>
      </w:pPr>
      <w:r>
        <w:rPr>
          <w:rFonts w:ascii="Calibri" w:hAnsi="Calibri"/>
          <w:b w:val="0"/>
          <w:i w:val="0"/>
          <w:color w:val="2B2B2B"/>
          <w:sz w:val="22"/>
        </w:rPr>
        <w:t>Cette section liste honnêtement ce qui n'est pas encore fait, pour distinguer le périmètre réalisé du périmètre envisageable à plus long terme.</w:t>
      </w:r>
    </w:p>
    <w:p>
      <w:pPr>
        <w:spacing w:after="120" w:before="280"/>
      </w:pPr>
      <w:r>
        <w:rPr>
          <w:rFonts w:ascii="Cambria" w:hAnsi="Cambria"/>
          <w:b/>
          <w:i w:val="0"/>
          <w:color w:val="2C5F2D"/>
          <w:sz w:val="28"/>
        </w:rPr>
        <w:t>1. Couverture du diagnostic IA</w:t>
      </w:r>
    </w:p>
    <w:p>
      <w:pPr>
        <w:pStyle w:val="ListBullet"/>
        <w:spacing w:after="60"/>
      </w:pPr>
      <w:r>
        <w:rPr>
          <w:sz w:val="22"/>
        </w:rPr>
        <w:t>Le blé et le colza ne font pas partie des 38 maladies couvertes. Une recherche active de jeux de données a été menée (Kaggle, Mendeley, TensorFlow Datasets, HuggingFace) : les sources trouvées sont soit inaccessibles sans authentification ou accord préalable du propriétaire, soit ne couvrent pas ces cultures. Aucune source fiable et librement accessible n'a été identifiée dans le temps imparti.</w:t>
      </w:r>
    </w:p>
    <w:p>
      <w:pPr>
        <w:pStyle w:val="ListBullet"/>
        <w:spacing w:after="60"/>
      </w:pPr>
      <w:r>
        <w:rPr>
          <w:sz w:val="22"/>
        </w:rPr>
        <w:t>Ajouter une détection « hors périmètre » : lorsque la confiance du modèle est basse ou ambiguë, afficher un message d'incertitude plutôt qu'un diagnostic affirmé à tort.</w:t>
      </w:r>
    </w:p>
    <w:p>
      <w:pPr>
        <w:spacing w:after="120" w:before="280"/>
      </w:pPr>
      <w:r>
        <w:rPr>
          <w:rFonts w:ascii="Cambria" w:hAnsi="Cambria"/>
          <w:b/>
          <w:i w:val="0"/>
          <w:color w:val="2C5F2D"/>
          <w:sz w:val="28"/>
        </w:rPr>
        <w:t>2. Diagnostic plus actionnable</w:t>
      </w:r>
    </w:p>
    <w:p>
      <w:pPr>
        <w:pStyle w:val="ListBullet"/>
        <w:spacing w:after="60"/>
      </w:pPr>
      <w:r>
        <w:rPr>
          <w:sz w:val="22"/>
        </w:rPr>
        <w:t>Indiquer le nom du produit précis à utiliser par maladie, et la plage horaire de traitement recommandée selon la météo du jour.</w:t>
      </w:r>
    </w:p>
    <w:p>
      <w:pPr>
        <w:pStyle w:val="ListBullet"/>
        <w:spacing w:after="60"/>
      </w:pPr>
      <w:r>
        <w:rPr>
          <w:sz w:val="22"/>
        </w:rPr>
        <w:t>Pour l'agriculture biologique, préciser le stade de la culture auquel un désherbage mécanique reste possible (déjà amorcé pour les cultures en ligne, vergers et vignes dans la base de maladies actuelle).</w:t>
      </w:r>
    </w:p>
    <w:p>
      <w:pPr>
        <w:pStyle w:val="ListBullet"/>
        <w:spacing w:after="60"/>
      </w:pPr>
      <w:r>
        <w:rPr>
          <w:sz w:val="22"/>
        </w:rPr>
        <w:t>Recommander une dose de semence adaptée à la culture et à la date du jour.</w:t>
      </w:r>
    </w:p>
    <w:p>
      <w:pPr>
        <w:spacing w:after="120" w:before="280"/>
      </w:pPr>
      <w:r>
        <w:rPr>
          <w:rFonts w:ascii="Cambria" w:hAnsi="Cambria"/>
          <w:b/>
          <w:i w:val="0"/>
          <w:color w:val="2C5F2D"/>
          <w:sz w:val="28"/>
        </w:rPr>
        <w:t>3. Pilotage agronomique de la parcelle</w:t>
      </w:r>
    </w:p>
    <w:p>
      <w:pPr>
        <w:pStyle w:val="ListBullet"/>
        <w:spacing w:after="60"/>
      </w:pPr>
      <w:r>
        <w:rPr>
          <w:sz w:val="22"/>
        </w:rPr>
        <w:t>Saisie du type de terre par l'agriculteur pour évaluer les meilleures conditions de semis.</w:t>
      </w:r>
    </w:p>
    <w:p>
      <w:pPr>
        <w:pStyle w:val="ListBullet"/>
        <w:spacing w:after="60"/>
      </w:pPr>
      <w:r>
        <w:rPr>
          <w:sz w:val="22"/>
        </w:rPr>
        <w:t>Itinéraire technique (actions à mener sur la parcelle) mis à jour au jour le jour.</w:t>
      </w:r>
    </w:p>
    <w:p>
      <w:pPr>
        <w:pStyle w:val="ListBullet"/>
        <w:spacing w:after="60"/>
      </w:pPr>
      <w:r>
        <w:rPr>
          <w:sz w:val="22"/>
        </w:rPr>
        <w:t>Saisie des analyses de sol, avec proposition de solutions correctives.</w:t>
      </w:r>
    </w:p>
    <w:p>
      <w:pPr>
        <w:pStyle w:val="ListBullet"/>
        <w:spacing w:after="60"/>
      </w:pPr>
      <w:r>
        <w:rPr>
          <w:sz w:val="22"/>
        </w:rPr>
        <w:t>Saisie des rendements passés, avec recommandation d'apport organique ou minéral pour les améliorer.</w:t>
      </w:r>
    </w:p>
    <w:p>
      <w:pPr>
        <w:pStyle w:val="ListBullet"/>
        <w:spacing w:after="60"/>
      </w:pPr>
      <w:r>
        <w:rPr>
          <w:sz w:val="22"/>
        </w:rPr>
        <w:t>Calcul automatique de l'IFT (indice de fréquence de traitement) et d'un bilan azoté par parcelle, avec produit utilisé et quantité par hectare.</w:t>
      </w:r>
    </w:p>
    <w:p>
      <w:pPr>
        <w:spacing w:after="120" w:before="280"/>
      </w:pPr>
      <w:r>
        <w:rPr>
          <w:rFonts w:ascii="Cambria" w:hAnsi="Cambria"/>
          <w:b/>
          <w:i w:val="0"/>
          <w:color w:val="2C5F2D"/>
          <w:sz w:val="28"/>
        </w:rPr>
        <w:t>4. Gestion d'exploitation complète</w:t>
      </w:r>
    </w:p>
    <w:p>
      <w:pPr>
        <w:pStyle w:val="ListBullet"/>
        <w:spacing w:after="60"/>
      </w:pPr>
      <w:r>
        <w:rPr>
          <w:sz w:val="22"/>
        </w:rPr>
        <w:t>Carte interactive pour créer une parcelle par adresse ou clic (fonctionnalité IV.c du cahier des charges, non réalisée — voir section IV).</w:t>
      </w:r>
    </w:p>
    <w:p>
      <w:pPr>
        <w:pStyle w:val="ListBullet"/>
        <w:spacing w:after="60"/>
      </w:pPr>
      <w:r>
        <w:rPr>
          <w:sz w:val="22"/>
        </w:rPr>
        <w:t>Système de compte à l'échelle de l'exploitation (ferme, champs multiples), avec planning prévisionnel semaine par semaine et alertes sur les tâches prévues.</w:t>
      </w:r>
    </w:p>
    <w:p>
      <w:pPr>
        <w:spacing w:after="120" w:before="280"/>
      </w:pPr>
      <w:r>
        <w:rPr>
          <w:rFonts w:ascii="Cambria" w:hAnsi="Cambria"/>
          <w:b/>
          <w:i w:val="0"/>
          <w:color w:val="2C5F2D"/>
          <w:sz w:val="28"/>
        </w:rPr>
        <w:t>5. Expérience utilisateur</w:t>
      </w:r>
    </w:p>
    <w:p>
      <w:pPr>
        <w:pStyle w:val="ListBullet"/>
        <w:spacing w:after="60"/>
      </w:pPr>
      <w:r>
        <w:rPr>
          <w:sz w:val="22"/>
        </w:rPr>
        <w:t>Regrouper les catégories dans un menu unique (menu burger) à mesure que l'application grandit.</w:t>
      </w:r>
    </w:p>
    <w:p>
      <w:pPr>
        <w:pStyle w:val="ListBullet"/>
        <w:spacing w:after="60"/>
      </w:pPr>
      <w:r>
        <w:rPr>
          <w:sz w:val="22"/>
        </w:rPr>
        <w:t>Assistant conversationnel pour dialoguer avec l'exploitant.</w:t>
      </w:r>
    </w:p>
    <w:p>
      <w:pPr>
        <w:spacing w:after="120" w:before="280"/>
      </w:pPr>
      <w:r>
        <w:rPr>
          <w:rFonts w:ascii="Cambria" w:hAnsi="Cambria"/>
          <w:b/>
          <w:i w:val="0"/>
          <w:color w:val="2C5F2D"/>
          <w:sz w:val="28"/>
        </w:rPr>
        <w:t>Validation terrain</w:t>
      </w:r>
    </w:p>
    <w:p>
      <w:pPr>
        <w:spacing w:after="120" w:before="0"/>
      </w:pPr>
      <w:r>
        <w:rPr>
          <w:rFonts w:ascii="Calibri" w:hAnsi="Calibri"/>
          <w:b w:val="0"/>
          <w:i/>
          <w:color w:val="2B2B2B"/>
          <w:sz w:val="22"/>
        </w:rPr>
        <w:t>Au-delà de l'évaluation académique, l'application a été testée en conditions réelles : par un membre de la famille de l'auteur, agriculteur, directement sur son exploitation, puis auprès d'autres agriculteurs sur le terrain. Le retour le plus fréquent ne portait pas sur le diagnostic en lui-même, mais sur l'intérêt de centraliser toutes les données au même endroit, et en particulier de croiser la météo avec le risque de maladie pour anticiper plutôt que subir — ce qui confirme la pertinence des pistes d'amélioration ci-dessus, en particulier le pilotage agronomique et les alertes prévisionnelles.</w:t>
      </w:r>
    </w:p>
    <w:p>
      <w:r>
        <w:br w:type="page"/>
      </w:r>
    </w:p>
    <w:p>
      <w:pPr>
        <w:spacing w:after="200" w:before="80"/>
      </w:pPr>
      <w:r>
        <w:rPr>
          <w:rFonts w:ascii="Cambria" w:hAnsi="Cambria"/>
          <w:b/>
          <w:i w:val="0"/>
          <w:color w:val="2C5F2D"/>
          <w:sz w:val="40"/>
        </w:rPr>
        <w:t>XI. Conclusion</w:t>
      </w:r>
    </w:p>
    <w:p>
      <w:pPr>
        <w:spacing w:after="120" w:before="0"/>
      </w:pPr>
      <w:r>
        <w:rPr>
          <w:rFonts w:ascii="Calibri" w:hAnsi="Calibri"/>
          <w:b w:val="0"/>
          <w:i w:val="0"/>
          <w:color w:val="2B2B2B"/>
          <w:sz w:val="22"/>
        </w:rPr>
        <w:t>PlantDiag répond aux objectifs du cahier des charges : une application fonctionnelle combinant une intelligence artificielle réelle et mesurée, une infrastructure cloud en production, et une architecture réseau documentée, construites sur trois technologies étudiées durant le Bachelor (FastAPI, PostgreSQL, Docker/AWS).</w:t>
      </w:r>
    </w:p>
    <w:p>
      <w:pPr>
        <w:spacing w:after="120" w:before="0"/>
      </w:pPr>
      <w:r>
        <w:rPr>
          <w:rFonts w:ascii="Calibri" w:hAnsi="Calibri"/>
          <w:b w:val="0"/>
          <w:i w:val="0"/>
          <w:color w:val="2B2B2B"/>
          <w:sz w:val="22"/>
        </w:rPr>
        <w:t>Le projet assume aussi ses limites actuelles avec la même rigueur qui a servi à mesurer sa précision : la carte interactive et le back-office restent à construire, le blé et le colza ne sont pas couverts faute de données accessibles, et le modèle, comme tout classifieur fermé, ne reconnaît que ce qu'il a appris. Ces limites sont documentées, comprises, et déjà traduites en feuille de route concrète.</w:t>
      </w:r>
    </w:p>
    <w:p>
      <w:pPr>
        <w:spacing w:after="600" w:before="0"/>
      </w:pPr>
    </w:p>
    <w:p>
      <w:pPr>
        <w:spacing w:after="120" w:before="0"/>
        <w:jc w:val="center"/>
      </w:pPr>
      <w:r>
        <w:rPr>
          <w:rFonts w:ascii="Calibri" w:hAnsi="Calibri"/>
          <w:b w:val="0"/>
          <w:i w:val="0"/>
          <w:color w:val="5F6B5F"/>
          <w:sz w:val="20"/>
        </w:rPr>
        <w:t>Antoine SIMON — Bachelor 2 Informatique — Sup de Vinci</w:t>
      </w:r>
    </w:p>
    <w:p>
      <w:pPr>
        <w:spacing w:after="120" w:before="0"/>
        <w:jc w:val="center"/>
      </w:pPr>
      <w:r>
        <w:rPr>
          <w:rFonts w:ascii="Calibri" w:hAnsi="Calibri"/>
          <w:b w:val="0"/>
          <w:i w:val="0"/>
          <w:color w:val="5F6B5F"/>
          <w:sz w:val="20"/>
        </w:rPr>
        <w:t>Dépôt du projet : https://github.com/Antonito35/diagnositique-plante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