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25</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notre modèle d'intelligence artificielle et Open-Meteo pour la météo.</w:t>
      </w:r>
    </w:p>
    <w:p>
      <w:pPr>
        <w:spacing w:after="160" w:before="0"/>
      </w:pPr>
      <w:r>
        <w:rPr>
          <w:rFonts w:ascii="Calibri" w:hAnsi="Calibri"/>
          <w:b w:val="0"/>
          <w:i w:val="0"/>
          <w:color w:val="2B2B2B"/>
          <w:sz w:val="23"/>
        </w:rPr>
        <w:t>Le flux d'un diagnostic est simple : la photo part du navigateur vers l'API, elle est analysée par le modèle IA,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C'est un vrai modèle entraîné, pas une simple analyse de couleurs. On part de MobileNetV2, un réseau de neurones convolutif pré-entraîné sur ImageNet, poids gelés, et on entraîne juste une petite tête de classification par-dessus : c'est le transfer learning.</w:t>
      </w:r>
    </w:p>
    <w:p>
      <w:pPr>
        <w:spacing w:after="160" w:before="0"/>
      </w:pPr>
      <w:r>
        <w:rPr>
          <w:rFonts w:ascii="Calibri" w:hAnsi="Calibri"/>
          <w:b w:val="0"/>
          <w:i w:val="0"/>
          <w:color w:val="2B2B2B"/>
          <w:sz w:val="23"/>
        </w:rPr>
        <w:t>L'entraînement s'est fait sur PlantVillage : 54 305 photos réelles de feuilles, labellisées, couvrant 38 maladies sur 14 cultures différentes.</w:t>
      </w:r>
    </w:p>
    <w:p>
      <w:pPr>
        <w:spacing w:after="160" w:before="0"/>
      </w:pPr>
      <w:r>
        <w:rPr>
          <w:rFonts w:ascii="Calibri" w:hAnsi="Calibri"/>
          <w:b w:val="0"/>
          <w:i w:val="0"/>
          <w:color w:val="2B2B2B"/>
          <w:sz w:val="23"/>
        </w:rPr>
        <w:t>Le résultat est mesuré, pas estimé : sur les 10 849 photos du jeu de test, jamais vues pendant l'entraînement, le modèle atteint 96,70 % de précision.</w:t>
      </w:r>
    </w:p>
    <w:p>
      <w:pPr>
        <w:spacing w:after="160" w:before="0"/>
      </w:pPr>
      <w:r>
        <w:rPr>
          <w:rFonts w:ascii="Calibri" w:hAnsi="Calibri"/>
          <w:b w:val="0"/>
          <w:i w:val="0"/>
          <w:color w:val="2B2B2B"/>
          <w:sz w:val="23"/>
        </w:rPr>
        <w:t>Exporté en TensorFlow Lite, moins de 5 mégaoctets, il répond en 30 à 50 millisecondes, ce qui rend l'outil utilisable directement dans le champ.</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Le cahier des charges ne fixe aucun seuil chiffré : nous nous sommes fixé nos propres objectifs de qualité, tous dépassés. Dix-huit endpoints livrés pour un objectif de cinq. 30 à 50 millisecondes de temps de réponse contre un objectif de moins de deux secondes. Un relevé par minute et par capteur, soit une surveillance continue.</w:t>
      </w:r>
    </w:p>
    <w:p>
      <w:pPr>
        <w:spacing w:after="160" w:before="0"/>
      </w:pPr>
      <w:r>
        <w:rPr>
          <w:rFonts w:ascii="Calibri" w:hAnsi="Calibri"/>
          <w:b w:val="0"/>
          <w:i w:val="0"/>
          <w:color w:val="2B2B2B"/>
          <w:sz w:val="23"/>
        </w:rPr>
        <w:t>La précision du modèle IA, elle, n'est pas un objectif qu'on s'est fixé : c'est une mesure, 96,70 % sur un jeu de test de 10 849 photos jamais vues à l'entraînement.</w:t>
      </w:r>
    </w:p>
    <w:p>
      <w:pPr>
        <w:spacing w:after="160" w:before="0"/>
      </w:pPr>
      <w:r>
        <w:rPr>
          <w:rFonts w:ascii="Calibri" w:hAnsi="Calibri"/>
          <w:b w:val="0"/>
          <w:i w:val="0"/>
          <w:color w:val="2B2B2B"/>
          <w:sz w:val="23"/>
        </w:rPr>
        <w:t>Les exigences explicites du CDC, elles, sont toutes respectées : les trois technologies imposées, le déploiement cloud, l'architecture avec capteurs IoT et la documentation complète.</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Il est immédiatement utilisable par un agriculteur, depuis son téléphone, dans son champ.</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TensorFlow, NumPy.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du transfer learning : on part de MobileNetV2, un réseau de neurones convolutif déjà entraîné sur ImageNet, on garde ses poids gelés, et on entraîne juste une tête de classification par-dessus sur nos 38 catégories. Ça évite d'avoir besoin de millions d'images et de jours d'entraînement, tout en gardant la puissance d'un vrai réseau de neurones.</w:t>
      </w:r>
    </w:p>
    <w:p>
      <w:pPr>
        <w:spacing w:after="60" w:before="200"/>
      </w:pPr>
      <w:r>
        <w:rPr>
          <w:rFonts w:ascii="Calibri" w:hAnsi="Calibri"/>
          <w:b/>
          <w:i w:val="0"/>
          <w:color w:val="2C5F2D"/>
          <w:sz w:val="25"/>
        </w:rPr>
        <w:t>Quelle est la précision du diagnostic ?</w:t>
      </w:r>
    </w:p>
    <w:p>
      <w:pPr>
        <w:spacing w:after="80" w:before="0"/>
      </w:pPr>
      <w:r>
        <w:rPr>
          <w:rFonts w:ascii="Calibri" w:hAnsi="Calibri"/>
          <w:b w:val="0"/>
          <w:i w:val="0"/>
          <w:color w:val="2B2B2B"/>
          <w:sz w:val="23"/>
        </w:rPr>
        <w:t>96,70 %, mesurée sur 10 849 photos du jeu de test PlantVillage, jamais vues pendant l'entraînement. Ce n'est pas une estimation : les données ont été séparées en deux blocs avant tout entraînement, 43 456 photos pour apprendre, 10 849 mises de côté pour vérifier.</w:t>
      </w:r>
    </w:p>
    <w:p>
      <w:pPr>
        <w:spacing w:after="60" w:before="200"/>
      </w:pPr>
      <w:r>
        <w:rPr>
          <w:rFonts w:ascii="Calibri" w:hAnsi="Calibri"/>
          <w:b/>
          <w:i w:val="0"/>
          <w:color w:val="2C5F2D"/>
          <w:sz w:val="25"/>
        </w:rPr>
        <w:t>Est-ce que le diagnostic est toujours fiable ?</w:t>
      </w:r>
    </w:p>
    <w:p>
      <w:pPr>
        <w:spacing w:after="80" w:before="0"/>
      </w:pPr>
      <w:r>
        <w:rPr>
          <w:rFonts w:ascii="Calibri" w:hAnsi="Calibri"/>
          <w:b w:val="0"/>
          <w:i w:val="0"/>
          <w:color w:val="2B2B2B"/>
          <w:sz w:val="23"/>
        </w:rPr>
        <w:t>C'est un vrai modèle entraîné et validé, pas un diagnostic phytosanitaire certifié : face à une maladie hors des 38 catégories apprises, il se trompe, et souvent avec une confiance élevée - le modèle choisit forcément la classe connue la plus proche visuellement, sans option « je ne sais pas ». C'est une limite connue des classifieurs de ce type, pas un bug. Étendre le nombre de maladies couvertes, avec d'autres jeux de données, est une évolution possible du projet.</w:t>
      </w:r>
    </w:p>
    <w:p>
      <w:pPr>
        <w:spacing w:after="60" w:before="200"/>
      </w:pPr>
      <w:r>
        <w:rPr>
          <w:rFonts w:ascii="Calibri" w:hAnsi="Calibri"/>
          <w:b/>
          <w:i w:val="0"/>
          <w:color w:val="2C5F2D"/>
          <w:sz w:val="25"/>
        </w:rPr>
        <w:t>J'ai testé avec une photo de charbon du maïs, il a répondu tache bactérienne du poivron avec 100 % de confiance. C'est une erreur ?</w:t>
      </w:r>
    </w:p>
    <w:p>
      <w:pPr>
        <w:spacing w:after="80" w:before="0"/>
      </w:pPr>
      <w:r>
        <w:rPr>
          <w:rFonts w:ascii="Calibri" w:hAnsi="Calibri"/>
          <w:b w:val="0"/>
          <w:i w:val="0"/>
          <w:color w:val="2B2B2B"/>
          <w:sz w:val="23"/>
        </w:rPr>
        <w:t>Non, c'est exactement la limite qu'on vient de décrire. Le charbon du maïs n'est pas une des 38 maladies apprises : PlantVillage ne couvre que quatre maladies de maïs - cercosporiose, rouille commune, helminthosporiose et l'état sain. Face à une texture qu'il n'a jamais vue, le modèle choisit la classe connue la plus proche dans ce qu'il a appris, et il le fait avec assurance parce que softmax répartit toujours 100 % de probabilité entre les classes connues, jamais vers une case « inconnu ». Un seuil de confiance minimum n'aurait rien changé ici ; la vraie solution serait d'ajouter des photos de charbon du maïs à l'entraînement.</w:t>
      </w:r>
    </w:p>
    <w:p>
      <w:pPr>
        <w:spacing w:after="60" w:before="200"/>
      </w:pPr>
      <w:r>
        <w:rPr>
          <w:rFonts w:ascii="Calibri" w:hAnsi="Calibri"/>
          <w:b/>
          <w:i w:val="0"/>
          <w:color w:val="2C5F2D"/>
          <w:sz w:val="25"/>
        </w:rPr>
        <w:t>Le blé et le colza sont-ils couverts par l'IA ?</w:t>
      </w:r>
    </w:p>
    <w:p>
      <w:pPr>
        <w:spacing w:after="80" w:before="0"/>
      </w:pPr>
      <w:r>
        <w:rPr>
          <w:rFonts w:ascii="Calibri" w:hAnsi="Calibri"/>
          <w:b w:val="0"/>
          <w:i w:val="0"/>
          <w:color w:val="2B2B2B"/>
          <w:sz w:val="23"/>
        </w:rPr>
        <w:t>Non, et c'est une limite assumée. PlantVillage, le jeu de données utilisé pour l'entraînement, couvre 14 cultures mais pas les céréales ni le colza. Nous avons cherché des données spécifiques au blé ; les sources trouvées demandaient soit un compte Kaggle avec justificatif, soit un formulaire d'accès avec délai, incompatibles avec le calendrier. Étendre la couverture à d'autres cultures est une évolution possible, avec le bon jeu de données.</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