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B8517" w14:textId="77777777" w:rsidR="00D54DE6" w:rsidRPr="00647318" w:rsidRDefault="00000000">
      <w:pPr>
        <w:pStyle w:val="Ttulo"/>
        <w:rPr>
          <w:lang w:val="es-ES"/>
        </w:rPr>
      </w:pPr>
      <w:r w:rsidRPr="00647318">
        <w:rPr>
          <w:lang w:val="es-ES"/>
        </w:rPr>
        <w:t>ESPACIO DE DATOS SECTORIAL FENITEL</w:t>
      </w:r>
    </w:p>
    <w:p w14:paraId="04251148" w14:textId="419C50FD" w:rsidR="00D54DE6" w:rsidRPr="00647318" w:rsidRDefault="00000000">
      <w:pPr>
        <w:rPr>
          <w:lang w:val="es-ES"/>
        </w:rPr>
      </w:pPr>
      <w:r w:rsidRPr="00647318">
        <w:rPr>
          <w:lang w:val="es-ES"/>
        </w:rPr>
        <w:t>Documento Integral de Gobernanza, Reglamento, Contrato de Adhesión y Política de Datos</w:t>
      </w:r>
      <w:r w:rsidRPr="00647318">
        <w:rPr>
          <w:lang w:val="es-ES"/>
        </w:rPr>
        <w:br/>
      </w:r>
    </w:p>
    <w:p w14:paraId="1D14B5E0" w14:textId="77777777" w:rsidR="00D54DE6" w:rsidRPr="00647318" w:rsidRDefault="00000000">
      <w:pPr>
        <w:pStyle w:val="Ttulo1"/>
        <w:rPr>
          <w:lang w:val="es-ES"/>
        </w:rPr>
      </w:pPr>
      <w:r w:rsidRPr="00647318">
        <w:rPr>
          <w:lang w:val="es-ES"/>
        </w:rPr>
        <w:t>1. MODELO DE GOBERNANZA DEL ESPACIO DE DATOS</w:t>
      </w:r>
    </w:p>
    <w:p w14:paraId="3E920720" w14:textId="77777777" w:rsidR="00D54DE6" w:rsidRPr="00647318" w:rsidRDefault="00000000">
      <w:pPr>
        <w:rPr>
          <w:lang w:val="es-ES"/>
        </w:rPr>
      </w:pPr>
      <w:r w:rsidRPr="00647318">
        <w:rPr>
          <w:lang w:val="es-ES"/>
        </w:rPr>
        <w:br/>
        <w:t>El Espacio de Datos Sectorial de FENITEL tiene como objetivo facilitar el intercambio seguro,</w:t>
      </w:r>
      <w:r w:rsidRPr="00647318">
        <w:rPr>
          <w:lang w:val="es-ES"/>
        </w:rPr>
        <w:br/>
        <w:t>controlado y trazable de datos entre empresas asociadas del sector de telecomunicaciones,</w:t>
      </w:r>
      <w:r w:rsidRPr="00647318">
        <w:rPr>
          <w:lang w:val="es-ES"/>
        </w:rPr>
        <w:br/>
        <w:t>generando valor a partir de la explotación responsable de información agregada y estandarizada.</w:t>
      </w:r>
      <w:r w:rsidRPr="00647318">
        <w:rPr>
          <w:lang w:val="es-ES"/>
        </w:rPr>
        <w:br/>
      </w:r>
    </w:p>
    <w:p w14:paraId="03282BAC" w14:textId="77777777" w:rsidR="00D54DE6" w:rsidRPr="00647318" w:rsidRDefault="00000000">
      <w:pPr>
        <w:rPr>
          <w:lang w:val="es-ES"/>
        </w:rPr>
      </w:pPr>
      <w:r w:rsidRPr="00647318">
        <w:rPr>
          <w:lang w:val="es-ES"/>
        </w:rPr>
        <w:br/>
        <w:t>Principios rectores:</w:t>
      </w:r>
      <w:r w:rsidRPr="00647318">
        <w:rPr>
          <w:lang w:val="es-ES"/>
        </w:rPr>
        <w:br/>
        <w:t>- Neutralidad del promotor</w:t>
      </w:r>
      <w:r w:rsidRPr="00647318">
        <w:rPr>
          <w:lang w:val="es-ES"/>
        </w:rPr>
        <w:br/>
        <w:t>- Interoperabilidad tecnológica</w:t>
      </w:r>
      <w:r w:rsidRPr="00647318">
        <w:rPr>
          <w:lang w:val="es-ES"/>
        </w:rPr>
        <w:br/>
        <w:t>- Seguridad y trazabilidad</w:t>
      </w:r>
      <w:r w:rsidRPr="00647318">
        <w:rPr>
          <w:lang w:val="es-ES"/>
        </w:rPr>
        <w:br/>
        <w:t>- Protección de datos empresariales</w:t>
      </w:r>
      <w:r w:rsidRPr="00647318">
        <w:rPr>
          <w:lang w:val="es-ES"/>
        </w:rPr>
        <w:br/>
        <w:t>- Transparencia en las reglas de participación</w:t>
      </w:r>
      <w:r w:rsidRPr="00647318">
        <w:rPr>
          <w:lang w:val="es-ES"/>
        </w:rPr>
        <w:br/>
      </w:r>
    </w:p>
    <w:p w14:paraId="37201F2E" w14:textId="77777777" w:rsidR="00D54DE6" w:rsidRPr="00647318" w:rsidRDefault="00000000">
      <w:pPr>
        <w:pStyle w:val="Ttulo2"/>
        <w:rPr>
          <w:lang w:val="es-ES"/>
        </w:rPr>
      </w:pPr>
      <w:r w:rsidRPr="00647318">
        <w:rPr>
          <w:lang w:val="es-ES"/>
        </w:rPr>
        <w:t>Estructura Organizativa</w:t>
      </w:r>
    </w:p>
    <w:p w14:paraId="6658FC4E" w14:textId="77777777" w:rsidR="00D54DE6" w:rsidRPr="00647318" w:rsidRDefault="00000000">
      <w:pPr>
        <w:rPr>
          <w:lang w:val="es-ES"/>
        </w:rPr>
      </w:pPr>
      <w:r w:rsidRPr="00647318">
        <w:rPr>
          <w:lang w:val="es-ES"/>
        </w:rPr>
        <w:br/>
        <w:t>La gobernanza del espacio se articula en cuatro órganos:</w:t>
      </w:r>
      <w:r w:rsidRPr="00647318">
        <w:rPr>
          <w:lang w:val="es-ES"/>
        </w:rPr>
        <w:br/>
        <w:t>1. Promotor del Espacio de Datos (FENITEL)</w:t>
      </w:r>
      <w:r w:rsidRPr="00647318">
        <w:rPr>
          <w:lang w:val="es-ES"/>
        </w:rPr>
        <w:br/>
        <w:t>2. Comité de Gobernanza</w:t>
      </w:r>
      <w:r w:rsidRPr="00647318">
        <w:rPr>
          <w:lang w:val="es-ES"/>
        </w:rPr>
        <w:br/>
        <w:t>3. Comité Técnico de Datos</w:t>
      </w:r>
      <w:r w:rsidRPr="00647318">
        <w:rPr>
          <w:lang w:val="es-ES"/>
        </w:rPr>
        <w:br/>
        <w:t>4. Unidad de Operación del Espacio</w:t>
      </w:r>
      <w:r w:rsidRPr="00647318">
        <w:rPr>
          <w:lang w:val="es-ES"/>
        </w:rPr>
        <w:br/>
      </w:r>
    </w:p>
    <w:p w14:paraId="7ED42FF2" w14:textId="77777777" w:rsidR="00D54DE6" w:rsidRPr="00647318" w:rsidRDefault="00000000">
      <w:pPr>
        <w:pStyle w:val="Ttulo1"/>
        <w:rPr>
          <w:lang w:val="es-ES"/>
        </w:rPr>
      </w:pPr>
      <w:r w:rsidRPr="00647318">
        <w:rPr>
          <w:lang w:val="es-ES"/>
        </w:rPr>
        <w:t>2. REGLAMENTO DE GOBERNANZA DEL ESPACIO DE DATOS</w:t>
      </w:r>
    </w:p>
    <w:p w14:paraId="2D406188" w14:textId="77777777" w:rsidR="00D54DE6" w:rsidRPr="00647318" w:rsidRDefault="00000000">
      <w:pPr>
        <w:rPr>
          <w:lang w:val="es-ES"/>
        </w:rPr>
      </w:pPr>
      <w:r w:rsidRPr="00647318">
        <w:rPr>
          <w:lang w:val="es-ES"/>
        </w:rPr>
        <w:t>Artículo 1. Objeto. El presente reglamento regula el funcionamiento, organización y uso del Espacio de Datos Sectorial FENITEL.</w:t>
      </w:r>
    </w:p>
    <w:p w14:paraId="19EA79BF" w14:textId="77777777" w:rsidR="00D54DE6" w:rsidRPr="00647318" w:rsidRDefault="00000000">
      <w:pPr>
        <w:rPr>
          <w:lang w:val="es-ES"/>
        </w:rPr>
      </w:pPr>
      <w:r w:rsidRPr="00647318">
        <w:rPr>
          <w:lang w:val="es-ES"/>
        </w:rPr>
        <w:t>Artículo 2. Ámbito de aplicación. El reglamento se aplica a todas las entidades que participen en el espacio de datos.</w:t>
      </w:r>
    </w:p>
    <w:p w14:paraId="534D57F9" w14:textId="77777777" w:rsidR="00D54DE6" w:rsidRPr="00647318" w:rsidRDefault="00000000">
      <w:pPr>
        <w:rPr>
          <w:lang w:val="es-ES"/>
        </w:rPr>
      </w:pPr>
      <w:r w:rsidRPr="00647318">
        <w:rPr>
          <w:lang w:val="es-ES"/>
        </w:rPr>
        <w:t>Artículo 3. Naturaleza del espacio. El espacio de datos es una infraestructura digital sectorial gestionada por FENITEL.</w:t>
      </w:r>
    </w:p>
    <w:p w14:paraId="5934BF27" w14:textId="77777777" w:rsidR="00D54DE6" w:rsidRPr="00647318" w:rsidRDefault="00000000">
      <w:pPr>
        <w:rPr>
          <w:lang w:val="es-ES"/>
        </w:rPr>
      </w:pPr>
      <w:r w:rsidRPr="00647318">
        <w:rPr>
          <w:lang w:val="es-ES"/>
        </w:rPr>
        <w:lastRenderedPageBreak/>
        <w:t>Artículo 4. Principios de funcionamiento. Neutralidad, transparencia, seguridad, interoperabilidad y trazabilidad.</w:t>
      </w:r>
    </w:p>
    <w:p w14:paraId="579610E3" w14:textId="77777777" w:rsidR="00D54DE6" w:rsidRPr="00647318" w:rsidRDefault="00000000">
      <w:pPr>
        <w:rPr>
          <w:lang w:val="es-ES"/>
        </w:rPr>
      </w:pPr>
      <w:r w:rsidRPr="00647318">
        <w:rPr>
          <w:lang w:val="es-ES"/>
        </w:rPr>
        <w:t>Artículo 5. Miembros del espacio. Podrán participar exclusivamente empresas asociadas a FENITEL.</w:t>
      </w:r>
    </w:p>
    <w:p w14:paraId="3312A683" w14:textId="77777777" w:rsidR="00D54DE6" w:rsidRPr="00647318" w:rsidRDefault="00000000">
      <w:pPr>
        <w:rPr>
          <w:lang w:val="es-ES"/>
        </w:rPr>
      </w:pPr>
      <w:r w:rsidRPr="00647318">
        <w:rPr>
          <w:lang w:val="es-ES"/>
        </w:rPr>
        <w:t>Artículo 6. Roles. Los miembros podrán actuar como participantes, proveedores de datos o ambos.</w:t>
      </w:r>
    </w:p>
    <w:p w14:paraId="6D8AC575" w14:textId="77777777" w:rsidR="00D54DE6" w:rsidRPr="00647318" w:rsidRDefault="00000000">
      <w:pPr>
        <w:rPr>
          <w:lang w:val="es-ES"/>
        </w:rPr>
      </w:pPr>
      <w:r w:rsidRPr="00647318">
        <w:rPr>
          <w:lang w:val="es-ES"/>
        </w:rPr>
        <w:t>Artículo 7. Adhesión. La incorporación requiere la firma del contrato de adhesión y registro formal en el sistema.</w:t>
      </w:r>
    </w:p>
    <w:p w14:paraId="7FC5F97C" w14:textId="77777777" w:rsidR="00D54DE6" w:rsidRPr="00647318" w:rsidRDefault="00000000">
      <w:pPr>
        <w:rPr>
          <w:lang w:val="es-ES"/>
        </w:rPr>
      </w:pPr>
      <w:r w:rsidRPr="00647318">
        <w:rPr>
          <w:lang w:val="es-ES"/>
        </w:rPr>
        <w:t>Artículo 8. Publicación de datos. Los proveedores deberán cumplir estándares técnicos y de calidad establecidos.</w:t>
      </w:r>
    </w:p>
    <w:p w14:paraId="6900FE1C" w14:textId="77777777" w:rsidR="00D54DE6" w:rsidRPr="00647318" w:rsidRDefault="00000000">
      <w:pPr>
        <w:rPr>
          <w:lang w:val="es-ES"/>
        </w:rPr>
      </w:pPr>
      <w:r w:rsidRPr="00647318">
        <w:rPr>
          <w:lang w:val="es-ES"/>
        </w:rPr>
        <w:t>Artículo 9. Validación técnica. El Comité Técnico supervisará la calidad e interoperabilidad de los datasets.</w:t>
      </w:r>
    </w:p>
    <w:p w14:paraId="66215FF2" w14:textId="77777777" w:rsidR="00D54DE6" w:rsidRPr="00647318" w:rsidRDefault="00000000">
      <w:pPr>
        <w:rPr>
          <w:lang w:val="es-ES"/>
        </w:rPr>
      </w:pPr>
      <w:r w:rsidRPr="00647318">
        <w:rPr>
          <w:lang w:val="es-ES"/>
        </w:rPr>
        <w:t>Artículo 10. Acceso a datos. El acceso dependerá de las políticas de uso definidas por el espacio.</w:t>
      </w:r>
    </w:p>
    <w:p w14:paraId="296AB6B5" w14:textId="77777777" w:rsidR="00D54DE6" w:rsidRPr="00647318" w:rsidRDefault="00000000">
      <w:pPr>
        <w:rPr>
          <w:lang w:val="es-ES"/>
        </w:rPr>
      </w:pPr>
      <w:r w:rsidRPr="00647318">
        <w:rPr>
          <w:lang w:val="es-ES"/>
        </w:rPr>
        <w:t>Artículo 11. Seguridad de la información. Se implementarán controles técnicos para garantizar la seguridad.</w:t>
      </w:r>
    </w:p>
    <w:p w14:paraId="7DF017E4" w14:textId="77777777" w:rsidR="00D54DE6" w:rsidRPr="00647318" w:rsidRDefault="00000000">
      <w:pPr>
        <w:rPr>
          <w:lang w:val="es-ES"/>
        </w:rPr>
      </w:pPr>
      <w:r w:rsidRPr="00647318">
        <w:rPr>
          <w:lang w:val="es-ES"/>
        </w:rPr>
        <w:t>Artículo 12. Trazabilidad. Todas las operaciones quedarán registradas mediante sistemas de logging.</w:t>
      </w:r>
    </w:p>
    <w:p w14:paraId="7ED1735F" w14:textId="77777777" w:rsidR="00D54DE6" w:rsidRPr="00647318" w:rsidRDefault="00000000">
      <w:pPr>
        <w:rPr>
          <w:lang w:val="es-ES"/>
        </w:rPr>
      </w:pPr>
      <w:r w:rsidRPr="00647318">
        <w:rPr>
          <w:lang w:val="es-ES"/>
        </w:rPr>
        <w:t>Artículo 13. Protección de información empresarial. Los datos agregados evitarán la identificación individual.</w:t>
      </w:r>
    </w:p>
    <w:p w14:paraId="4443F2EE" w14:textId="77777777" w:rsidR="00D54DE6" w:rsidRPr="00647318" w:rsidRDefault="00000000">
      <w:pPr>
        <w:rPr>
          <w:lang w:val="es-ES"/>
        </w:rPr>
      </w:pPr>
      <w:r w:rsidRPr="00647318">
        <w:rPr>
          <w:lang w:val="es-ES"/>
        </w:rPr>
        <w:t>Artículo 14. Gobernanza institucional. El Comité de Gobernanza supervisará el funcionamiento estratégico.</w:t>
      </w:r>
    </w:p>
    <w:p w14:paraId="7DCB7231" w14:textId="77777777" w:rsidR="00D54DE6" w:rsidRPr="00647318" w:rsidRDefault="00000000">
      <w:pPr>
        <w:rPr>
          <w:lang w:val="es-ES"/>
        </w:rPr>
      </w:pPr>
      <w:r w:rsidRPr="00647318">
        <w:rPr>
          <w:lang w:val="es-ES"/>
        </w:rPr>
        <w:t>Artículo 15. Resolución de conflictos. Los conflictos serán resueltos por el Comité de Gobernanza.</w:t>
      </w:r>
    </w:p>
    <w:p w14:paraId="00E8CAEC" w14:textId="77777777" w:rsidR="00D54DE6" w:rsidRPr="00647318" w:rsidRDefault="00000000">
      <w:pPr>
        <w:rPr>
          <w:lang w:val="es-ES"/>
        </w:rPr>
      </w:pPr>
      <w:r w:rsidRPr="00647318">
        <w:rPr>
          <w:lang w:val="es-ES"/>
        </w:rPr>
        <w:t>Artículo 16. Auditoría. El sistema podrá ser auditado para garantizar cumplimiento normativo.</w:t>
      </w:r>
    </w:p>
    <w:p w14:paraId="7DBD82CB" w14:textId="77777777" w:rsidR="00D54DE6" w:rsidRPr="00647318" w:rsidRDefault="00000000">
      <w:pPr>
        <w:rPr>
          <w:lang w:val="es-ES"/>
        </w:rPr>
      </w:pPr>
      <w:r w:rsidRPr="00647318">
        <w:rPr>
          <w:lang w:val="es-ES"/>
        </w:rPr>
        <w:t>Artículo 17. Modificación del reglamento. Cualquier modificación requerirá aprobación de la Junta Directiva.</w:t>
      </w:r>
    </w:p>
    <w:p w14:paraId="6A4F9563" w14:textId="77777777" w:rsidR="00D54DE6" w:rsidRPr="00647318" w:rsidRDefault="00000000">
      <w:pPr>
        <w:rPr>
          <w:lang w:val="es-ES"/>
        </w:rPr>
      </w:pPr>
      <w:r w:rsidRPr="00647318">
        <w:rPr>
          <w:lang w:val="es-ES"/>
        </w:rPr>
        <w:t>Artículo 18. Sanciones. El incumplimiento podrá suponer suspensión del acceso al espacio.</w:t>
      </w:r>
    </w:p>
    <w:p w14:paraId="0A22F513" w14:textId="77777777" w:rsidR="00D54DE6" w:rsidRPr="00647318" w:rsidRDefault="00000000">
      <w:pPr>
        <w:rPr>
          <w:lang w:val="es-ES"/>
        </w:rPr>
      </w:pPr>
      <w:r w:rsidRPr="00647318">
        <w:rPr>
          <w:lang w:val="es-ES"/>
        </w:rPr>
        <w:t>Artículo 19. Evolución del espacio. El modelo podrá evolucionar según necesidades sectoriales.</w:t>
      </w:r>
    </w:p>
    <w:p w14:paraId="7A2081E9" w14:textId="77777777" w:rsidR="00D54DE6" w:rsidRPr="00647318" w:rsidRDefault="00000000">
      <w:pPr>
        <w:rPr>
          <w:lang w:val="es-ES"/>
        </w:rPr>
      </w:pPr>
      <w:r w:rsidRPr="00647318">
        <w:rPr>
          <w:lang w:val="es-ES"/>
        </w:rPr>
        <w:t>Artículo 20. Entrada en vigor. El reglamento entrará en vigor tras su aprobación por la Junta Directiva.</w:t>
      </w:r>
    </w:p>
    <w:p w14:paraId="4C24C7B2" w14:textId="77777777" w:rsidR="00D54DE6" w:rsidRPr="00647318" w:rsidRDefault="00000000">
      <w:pPr>
        <w:pStyle w:val="Ttulo1"/>
        <w:rPr>
          <w:lang w:val="es-ES"/>
        </w:rPr>
      </w:pPr>
      <w:r w:rsidRPr="00647318">
        <w:rPr>
          <w:lang w:val="es-ES"/>
        </w:rPr>
        <w:lastRenderedPageBreak/>
        <w:t>3. CONTRATO DE ADHESIÓN AL ESPACIO DE DATOS</w:t>
      </w:r>
    </w:p>
    <w:p w14:paraId="3A0DE1D7" w14:textId="77777777" w:rsidR="00D54DE6" w:rsidRPr="00647318" w:rsidRDefault="00000000">
      <w:pPr>
        <w:rPr>
          <w:lang w:val="es-ES"/>
        </w:rPr>
      </w:pPr>
      <w:r w:rsidRPr="00647318">
        <w:rPr>
          <w:lang w:val="es-ES"/>
        </w:rPr>
        <w:br/>
        <w:t>Entre FENITEL, como promotor del Espacio de Datos Sectorial, y la empresa adherida,</w:t>
      </w:r>
      <w:r w:rsidRPr="00647318">
        <w:rPr>
          <w:lang w:val="es-ES"/>
        </w:rPr>
        <w:br/>
        <w:t>se establece el presente contrato que regula las condiciones de participación.</w:t>
      </w:r>
      <w:r w:rsidRPr="00647318">
        <w:rPr>
          <w:lang w:val="es-ES"/>
        </w:rPr>
        <w:br/>
      </w:r>
    </w:p>
    <w:p w14:paraId="419DB758" w14:textId="77777777" w:rsidR="00D54DE6" w:rsidRPr="00647318" w:rsidRDefault="00000000">
      <w:pPr>
        <w:rPr>
          <w:lang w:val="es-ES"/>
        </w:rPr>
      </w:pPr>
      <w:r w:rsidRPr="00647318">
        <w:rPr>
          <w:lang w:val="es-ES"/>
        </w:rPr>
        <w:br/>
        <w:t>Cláusulas principales:</w:t>
      </w:r>
      <w:r w:rsidRPr="00647318">
        <w:rPr>
          <w:lang w:val="es-ES"/>
        </w:rPr>
        <w:br/>
        <w:t>1. Objeto del contrato: regular la participación en el espacio de datos.</w:t>
      </w:r>
      <w:r w:rsidRPr="00647318">
        <w:rPr>
          <w:lang w:val="es-ES"/>
        </w:rPr>
        <w:br/>
        <w:t>2. Obligaciones del miembro: cumplir el reglamento, aportar datos veraces y respetar normas de uso.</w:t>
      </w:r>
      <w:r w:rsidRPr="00647318">
        <w:rPr>
          <w:lang w:val="es-ES"/>
        </w:rPr>
        <w:br/>
        <w:t>3. Derechos del miembro: acceso al catálogo de datos y participación en el ecosistema.</w:t>
      </w:r>
      <w:r w:rsidRPr="00647318">
        <w:rPr>
          <w:lang w:val="es-ES"/>
        </w:rPr>
        <w:br/>
        <w:t>4. Publicación de datos: en caso de actuar como proveedor, el miembro garantizará la calidad del dataset.</w:t>
      </w:r>
      <w:r w:rsidRPr="00647318">
        <w:rPr>
          <w:lang w:val="es-ES"/>
        </w:rPr>
        <w:br/>
        <w:t>5. Confidencialidad: los miembros respetarán la confidencialidad de la información compartida.</w:t>
      </w:r>
      <w:r w:rsidRPr="00647318">
        <w:rPr>
          <w:lang w:val="es-ES"/>
        </w:rPr>
        <w:br/>
        <w:t>6. Duración: el contrato tendrá vigencia indefinida mientras se mantenga la adhesión.</w:t>
      </w:r>
      <w:r w:rsidRPr="00647318">
        <w:rPr>
          <w:lang w:val="es-ES"/>
        </w:rPr>
        <w:br/>
        <w:t>7. Terminación: FENITEL podrá suspender el acceso en caso de incumplimiento.</w:t>
      </w:r>
      <w:r w:rsidRPr="00647318">
        <w:rPr>
          <w:lang w:val="es-ES"/>
        </w:rPr>
        <w:br/>
      </w:r>
    </w:p>
    <w:p w14:paraId="5A8F7452" w14:textId="77777777" w:rsidR="00D54DE6" w:rsidRPr="00647318" w:rsidRDefault="00000000">
      <w:pPr>
        <w:pStyle w:val="Ttulo1"/>
        <w:rPr>
          <w:lang w:val="es-ES"/>
        </w:rPr>
      </w:pPr>
      <w:r w:rsidRPr="00647318">
        <w:rPr>
          <w:lang w:val="es-ES"/>
        </w:rPr>
        <w:t>4. POLÍTICA DE AGREGACIÓN Y ANONIMIZACIÓN</w:t>
      </w:r>
    </w:p>
    <w:p w14:paraId="4C6E6753" w14:textId="77777777" w:rsidR="00D54DE6" w:rsidRPr="00647318" w:rsidRDefault="00000000">
      <w:pPr>
        <w:rPr>
          <w:lang w:val="es-ES"/>
        </w:rPr>
      </w:pPr>
      <w:r w:rsidRPr="00647318">
        <w:rPr>
          <w:lang w:val="es-ES"/>
        </w:rPr>
        <w:br/>
        <w:t>La política de agregación establece las normas para garantizar que los datos publicados</w:t>
      </w:r>
      <w:r w:rsidRPr="00647318">
        <w:rPr>
          <w:lang w:val="es-ES"/>
        </w:rPr>
        <w:br/>
        <w:t>no permitan identificar información sensible de empresas individuales.</w:t>
      </w:r>
      <w:r w:rsidRPr="00647318">
        <w:rPr>
          <w:lang w:val="es-ES"/>
        </w:rPr>
        <w:br/>
      </w:r>
    </w:p>
    <w:p w14:paraId="427EA675" w14:textId="77777777" w:rsidR="00D54DE6" w:rsidRPr="00647318" w:rsidRDefault="00000000">
      <w:pPr>
        <w:rPr>
          <w:lang w:val="es-ES"/>
        </w:rPr>
      </w:pPr>
      <w:r w:rsidRPr="00647318">
        <w:rPr>
          <w:lang w:val="es-ES"/>
        </w:rPr>
        <w:br/>
        <w:t>Principios:</w:t>
      </w:r>
      <w:r w:rsidRPr="00647318">
        <w:rPr>
          <w:lang w:val="es-ES"/>
        </w:rPr>
        <w:br/>
        <w:t>- Mínimo de tres empresas para cualquier agregación.</w:t>
      </w:r>
      <w:r w:rsidRPr="00647318">
        <w:rPr>
          <w:lang w:val="es-ES"/>
        </w:rPr>
        <w:br/>
        <w:t>- Eliminación de identificadores directos.</w:t>
      </w:r>
      <w:r w:rsidRPr="00647318">
        <w:rPr>
          <w:lang w:val="es-ES"/>
        </w:rPr>
        <w:br/>
        <w:t>- Prevención de reidentificación mediante análisis estadístico.</w:t>
      </w:r>
      <w:r w:rsidRPr="00647318">
        <w:rPr>
          <w:lang w:val="es-ES"/>
        </w:rPr>
        <w:br/>
        <w:t>- Uso exclusivo de indicadores agregados sectoriales.</w:t>
      </w:r>
      <w:r w:rsidRPr="00647318">
        <w:rPr>
          <w:lang w:val="es-ES"/>
        </w:rPr>
        <w:br/>
      </w:r>
    </w:p>
    <w:p w14:paraId="0FC49F0A" w14:textId="77777777" w:rsidR="00D54DE6" w:rsidRDefault="00000000">
      <w:pPr>
        <w:pStyle w:val="Ttulo1"/>
      </w:pPr>
      <w:r>
        <w:lastRenderedPageBreak/>
        <w:t>5. DIAGRAMA INSTITUCIONAL DE GOBERNANZA</w:t>
      </w:r>
    </w:p>
    <w:p w14:paraId="0515EF85" w14:textId="77777777" w:rsidR="00D54DE6" w:rsidRDefault="00000000">
      <w:r>
        <w:rPr>
          <w:noProof/>
        </w:rPr>
        <w:drawing>
          <wp:inline distT="0" distB="0" distL="0" distR="0" wp14:anchorId="35926D3A" wp14:editId="4D750E7B">
            <wp:extent cx="4572000" cy="34534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gobernanza_fenite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53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4D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855503">
    <w:abstractNumId w:val="8"/>
  </w:num>
  <w:num w:numId="2" w16cid:durableId="907109794">
    <w:abstractNumId w:val="6"/>
  </w:num>
  <w:num w:numId="3" w16cid:durableId="850997722">
    <w:abstractNumId w:val="5"/>
  </w:num>
  <w:num w:numId="4" w16cid:durableId="2053268341">
    <w:abstractNumId w:val="4"/>
  </w:num>
  <w:num w:numId="5" w16cid:durableId="1593052248">
    <w:abstractNumId w:val="7"/>
  </w:num>
  <w:num w:numId="6" w16cid:durableId="74479516">
    <w:abstractNumId w:val="3"/>
  </w:num>
  <w:num w:numId="7" w16cid:durableId="354379979">
    <w:abstractNumId w:val="2"/>
  </w:num>
  <w:num w:numId="8" w16cid:durableId="2008635356">
    <w:abstractNumId w:val="1"/>
  </w:num>
  <w:num w:numId="9" w16cid:durableId="299723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7318"/>
    <w:rsid w:val="00A7302D"/>
    <w:rsid w:val="00AA1D8D"/>
    <w:rsid w:val="00B47730"/>
    <w:rsid w:val="00CB0664"/>
    <w:rsid w:val="00D54D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58C363"/>
  <w14:defaultImageDpi w14:val="300"/>
  <w15:docId w15:val="{54250146-E81C-44F3-AAD5-71894BFBE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651</Words>
  <Characters>3713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Anton Fernandez Soto</cp:lastModifiedBy>
  <cp:revision>3</cp:revision>
  <dcterms:created xsi:type="dcterms:W3CDTF">2013-12-23T23:15:00Z</dcterms:created>
  <dcterms:modified xsi:type="dcterms:W3CDTF">2026-03-28T17:26:00Z</dcterms:modified>
  <cp:category/>
</cp:coreProperties>
</file>