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A6D1F"/>
          <w:sz w:val="22"/>
          <w:szCs w:val="22"/>
        </w:rPr>
        <w:t xml:space="preserve">HOLDING INVERSIONES REYNAGA S.A.C.</w:t>
      </w:r>
    </w:p>
    <w:p>
      <w:pPr>
        <w:spacing w:after="100" w:before="300"/>
        <w:jc w:val="center"/>
      </w:pPr>
      <w:r>
        <w:rPr>
          <w:b/>
          <w:bCs/>
          <w:color w:val="0A1931"/>
          <w:sz w:val="40"/>
          <w:szCs w:val="40"/>
        </w:rPr>
        <w:t xml:space="preserve">Aclaraciones pendientes con el Área de Ventas</w:t>
      </w:r>
    </w:p>
    <w:p>
      <w:pPr>
        <w:spacing w:after="200"/>
        <w:jc w:val="center"/>
      </w:pPr>
      <w:r>
        <w:rPr>
          <w:color w:val="666666"/>
          <w:sz w:val="24"/>
          <w:szCs w:val="24"/>
        </w:rPr>
        <w:t xml:space="preserve">Proyecto Torres Titanium — inmobiliariaholdingreynaga.com</w:t>
      </w:r>
    </w:p>
    <w:p>
      <w:pPr>
        <w:spacing w:before="200"/>
        <w:jc w:val="center"/>
      </w:pPr>
      <w:r>
        <w:rPr>
          <w:color w:val="666666"/>
          <w:sz w:val="20"/>
          <w:szCs w:val="20"/>
        </w:rPr>
        <w:t xml:space="preserve">Preparado a partir del dictamen legal del 17/10/2026 y del estado publicado del sitio</w:t>
      </w:r>
    </w:p>
    <w:p>
      <w:pPr>
        <w:jc w:val="center"/>
      </w:pPr>
      <w:r>
        <w:rPr>
          <w:color w:val="666666"/>
          <w:sz w:val="20"/>
          <w:szCs w:val="20"/>
        </w:rPr>
        <w:t xml:space="preserve">Versión 1.0 — 18 de octubre de 2026</w:t>
      </w:r>
    </w:p>
    <w:p>
      <w:pPr>
        <w:pageBreakBefore/>
        <w:spacing w:after="200"/>
      </w:pPr>
      <w:r>
        <w:rPr>
          <w:b/>
          <w:bCs/>
          <w:color w:val="0A1931"/>
          <w:sz w:val="24"/>
          <w:szCs w:val="24"/>
        </w:rPr>
        <w:t xml:space="preserve">Cómo usar este documento</w:t>
      </w:r>
    </w:p>
    <w:p>
      <w:pPr>
        <w:spacing w:after="160" w:line="320"/>
      </w:pPr>
      <w:r>
        <w:rPr>
          <w:sz w:val="22"/>
          <w:szCs w:val="22"/>
        </w:rPr>
        <w:t xml:space="preserve">El sitio web ya publica condiciones específicas (devolución bancaria, IGV, bonos, plazos de ARCO). Varias de esas condiciones remiten a la Constancia de Separación o a datos del proyecto que todavía no están definidos por escrito. Cada pregunta indica por qué importa y dónde se usará la respuesta: en el sitio web público, en la plantilla física de la Constancia, en los textos del abogado o en el registro RNPDP.</w:t>
      </w:r>
    </w:p>
    <w:p>
      <w:pPr>
        <w:spacing w:after="160" w:line="320"/>
      </w:pPr>
      <w:r>
        <w:rPr>
          <w:sz w:val="22"/>
          <w:szCs w:val="22"/>
        </w:rPr>
        <w:t xml:space="preserve">Las secciones A, B, D y F son las más urgentes: la web ya les remite. La sección E cierra el bloque del Art. 77 de la Ley N° 29571 que hoy está omitido del sitio.</w:t>
      </w:r>
    </w:p>
    <w:p>
      <w:pPr>
        <w:pStyle w:val="Heading1"/>
        <w:pageBreakBefore/>
      </w:pPr>
      <w:r>
        <w:t xml:space="preserve">A. Proceso de separación y Constancia de Separación (URGENTE)</w:t>
      </w:r>
    </w:p>
    <w:p>
      <w:pPr>
        <w:spacing w:after="160" w:line="320"/>
      </w:pPr>
      <w:r>
        <w:rPr>
          <w:sz w:val="22"/>
          <w:szCs w:val="22"/>
        </w:rPr>
        <w:t xml:space="preserve">La web publica: “el desistimiento se rige por las condiciones de resolución previstas expresamente en el texto de la Constancia de Separación entregada al cliente antes de su pago”. Si la Constancia física no dice esas condiciones, la promesa web queda incompleta y expuesta ante INDECOPI.</w:t>
      </w:r>
    </w:p>
    <w:p>
      <w:pPr>
        <w:spacing w:after="40" w:before="160"/>
      </w:pPr>
      <w:r>
        <w:rPr>
          <w:b/>
          <w:bCs/>
          <w:color w:val="0A1931"/>
          <w:sz w:val="22"/>
          <w:szCs w:val="22"/>
        </w:rPr>
        <w:t xml:space="preserve">1. </w:t>
      </w:r>
      <w:r>
        <w:rPr>
          <w:b/>
          <w:bCs/>
          <w:sz w:val="22"/>
          <w:szCs w:val="22"/>
        </w:rPr>
        <w:t xml:space="preserve">¿Cuántos días dura el congelamiento del precio desde que el cliente paga los S/ 1,000? (30, 45, 60, 90 días…)</w:t>
      </w:r>
    </w:p>
    <w:p>
      <w:pPr>
        <w:spacing w:after="60" w:line="280"/>
        <w:ind w:left="360"/>
      </w:pPr>
      <w:r>
        <w:rPr>
          <w:i/>
          <w:iCs/>
          <w:color w:val="666666"/>
          <w:sz w:val="19"/>
          <w:szCs w:val="19"/>
        </w:rPr>
        <w:t xml:space="preserve">Por qué importa: El sitio dice “por el plazo determinado en dicha Constancia”, pero no publica ningún número. El plazo es la ventana para la evaluación crediticia y la firma de la minuta.</w:t>
      </w:r>
    </w:p>
    <w:p>
      <w:pPr>
        <w:spacing w:after="120" w:line="280"/>
        <w:ind w:left="360"/>
      </w:pPr>
      <w:r>
        <w:rPr>
          <w:color w:val="8A6D1F"/>
          <w:sz w:val="19"/>
          <w:szCs w:val="19"/>
        </w:rPr>
        <w:t xml:space="preserve">Dónde se usa la respuesta: Plantilla física de la Constancia + posibilidad de publicarlo en la web y en el FAQ.</w:t>
      </w:r>
    </w:p>
    <w:p>
      <w:pPr>
        <w:spacing w:after="40" w:before="160"/>
      </w:pPr>
      <w:r>
        <w:rPr>
          <w:b/>
          <w:bCs/>
          <w:color w:val="0A1931"/>
          <w:sz w:val="22"/>
          <w:szCs w:val="22"/>
        </w:rPr>
        <w:t xml:space="preserve">2. </w:t>
      </w:r>
      <w:r>
        <w:rPr>
          <w:b/>
          <w:bCs/>
          <w:sz w:val="22"/>
          <w:szCs w:val="22"/>
        </w:rPr>
        <w:t xml:space="preserve">¿Cuántas cuotas del cronograma vencidas definen el “incumplimiento reiterado” que termina el congelamiento? (¿2, 3, X cuotas atrasadas?)</w:t>
      </w:r>
    </w:p>
    <w:p>
      <w:pPr>
        <w:spacing w:after="60" w:line="280"/>
        <w:ind w:left="360"/>
      </w:pPr>
      <w:r>
        <w:rPr>
          <w:i/>
          <w:iCs/>
          <w:color w:val="666666"/>
          <w:sz w:val="19"/>
          <w:szCs w:val="19"/>
        </w:rPr>
        <w:t xml:space="preserve">Por qué importa: La web y el dictamen usan “incumplimiento reiterado” sin cuantificar. INDECOPI exige información verificable, no conceptos abiertos.</w:t>
      </w:r>
    </w:p>
    <w:p>
      <w:pPr>
        <w:spacing w:after="120" w:line="280"/>
        <w:ind w:left="360"/>
      </w:pPr>
      <w:r>
        <w:rPr>
          <w:color w:val="8A6D1F"/>
          <w:sz w:val="19"/>
          <w:szCs w:val="19"/>
        </w:rPr>
        <w:t xml:space="preserve">Dónde se usa la respuesta: Constancia física (condición expresa) y glosa textual en la web.</w:t>
      </w:r>
    </w:p>
    <w:p>
      <w:pPr>
        <w:spacing w:after="40" w:before="160"/>
      </w:pPr>
      <w:r>
        <w:rPr>
          <w:b/>
          <w:bCs/>
          <w:color w:val="0A1931"/>
          <w:sz w:val="22"/>
          <w:szCs w:val="22"/>
        </w:rPr>
        <w:t xml:space="preserve">3. </w:t>
      </w:r>
      <w:r>
        <w:rPr>
          <w:b/>
          <w:bCs/>
          <w:sz w:val="22"/>
          <w:szCs w:val="22"/>
        </w:rPr>
        <w:t xml:space="preserve">¿Qué frecuencia tiene el cronograma del 10% (mensual, quincenal) y cuándo inicia (fecha de separación, fin de mes, a partir de la aprobación del crédito)?</w:t>
      </w:r>
    </w:p>
    <w:p>
      <w:pPr>
        <w:spacing w:after="60" w:line="280"/>
        <w:ind w:left="360"/>
      </w:pPr>
      <w:r>
        <w:rPr>
          <w:i/>
          <w:iCs/>
          <w:color w:val="666666"/>
          <w:sz w:val="19"/>
          <w:szCs w:val="19"/>
        </w:rPr>
        <w:t xml:space="preserve">Por qué importa: La web dice “acorde a los ingresos mensuales del cliente” pero no la frecuencia ni el inicio.</w:t>
      </w:r>
    </w:p>
    <w:p>
      <w:pPr>
        <w:spacing w:after="120" w:line="280"/>
        <w:ind w:left="360"/>
      </w:pPr>
      <w:r>
        <w:rPr>
          <w:color w:val="8A6D1F"/>
          <w:sz w:val="19"/>
          <w:szCs w:val="19"/>
        </w:rPr>
        <w:t xml:space="preserve">Dónde se usa la respuesta: Constancia física y guía de separación del sitio.</w:t>
      </w:r>
    </w:p>
    <w:p>
      <w:pPr>
        <w:spacing w:after="40" w:before="160"/>
      </w:pPr>
      <w:r>
        <w:rPr>
          <w:b/>
          <w:bCs/>
          <w:color w:val="0A1931"/>
          <w:sz w:val="22"/>
          <w:szCs w:val="22"/>
        </w:rPr>
        <w:t xml:space="preserve">4. </w:t>
      </w:r>
      <w:r>
        <w:rPr>
          <w:b/>
          <w:bCs/>
          <w:sz w:val="22"/>
          <w:szCs w:val="22"/>
        </w:rPr>
        <w:t xml:space="preserve">En el desistimiento voluntario del cliente: ¿se pierde el 100% de la separación, se devuelve una parte, o depende del tiempo transcurrido? ¿Cuál es exactamente la regla?</w:t>
      </w:r>
    </w:p>
    <w:p>
      <w:pPr>
        <w:spacing w:after="60" w:line="280"/>
        <w:ind w:left="360"/>
      </w:pPr>
      <w:r>
        <w:rPr>
          <w:i/>
          <w:iCs/>
          <w:color w:val="666666"/>
          <w:sz w:val="19"/>
          <w:szCs w:val="19"/>
        </w:rPr>
        <w:t xml:space="preserve">Por qué importa: Es LA condición más sensible: la web remite a la Constancia, así que la Constancia debe decirla con precisión (monto, plazo de devolución si la hay, causales).</w:t>
      </w:r>
    </w:p>
    <w:p>
      <w:pPr>
        <w:spacing w:after="120" w:line="280"/>
        <w:ind w:left="360"/>
      </w:pPr>
      <w:r>
        <w:rPr>
          <w:color w:val="8A6D1F"/>
          <w:sz w:val="19"/>
          <w:szCs w:val="19"/>
        </w:rPr>
        <w:t xml:space="preserve">Dónde se usa la respuesta: Constancia física + eventual síntesis en Términos y Condiciones (si ventas autoriza publicarla).</w:t>
      </w:r>
    </w:p>
    <w:p>
      <w:pPr>
        <w:spacing w:after="40" w:before="160"/>
      </w:pPr>
      <w:r>
        <w:rPr>
          <w:b/>
          <w:bCs/>
          <w:color w:val="0A1931"/>
          <w:sz w:val="22"/>
          <w:szCs w:val="22"/>
        </w:rPr>
        <w:t xml:space="preserve">5. </w:t>
      </w:r>
      <w:r>
        <w:rPr>
          <w:b/>
          <w:bCs/>
          <w:sz w:val="22"/>
          <w:szCs w:val="22"/>
        </w:rPr>
        <w:t xml:space="preserve">¿La separación es transferible? (¿el cliente puede cambiar de unidad conservando el congelamiento, o cederla a un familiar conyugal?)</w:t>
      </w:r>
    </w:p>
    <w:p>
      <w:pPr>
        <w:spacing w:after="60" w:line="280"/>
        <w:ind w:left="360"/>
      </w:pPr>
      <w:r>
        <w:rPr>
          <w:i/>
          <w:iCs/>
          <w:color w:val="666666"/>
          <w:sz w:val="19"/>
          <w:szCs w:val="19"/>
        </w:rPr>
        <w:t xml:space="preserve">Por qué importa: Si pasa en la práctica, la Constancia debería preverlo y la web podría informarlo.</w:t>
      </w:r>
    </w:p>
    <w:p>
      <w:pPr>
        <w:spacing w:after="120" w:line="280"/>
        <w:ind w:left="360"/>
      </w:pPr>
      <w:r>
        <w:rPr>
          <w:color w:val="8A6D1F"/>
          <w:sz w:val="19"/>
          <w:szCs w:val="19"/>
        </w:rPr>
        <w:t xml:space="preserve">Dónde se usa la respuesta: Constancia física y FAQ del sitio.</w:t>
      </w:r>
    </w:p>
    <w:p>
      <w:pPr>
        <w:spacing w:after="40" w:before="160"/>
      </w:pPr>
      <w:r>
        <w:rPr>
          <w:b/>
          <w:bCs/>
          <w:color w:val="0A1931"/>
          <w:sz w:val="22"/>
          <w:szCs w:val="22"/>
        </w:rPr>
        <w:t xml:space="preserve">6. </w:t>
      </w:r>
      <w:r>
        <w:rPr>
          <w:b/>
          <w:bCs/>
          <w:sz w:val="22"/>
          <w:szCs w:val="22"/>
        </w:rPr>
        <w:t xml:space="preserve">¿Se puede separar más de una unidad por el mismo cliente o familiar directo?</w:t>
      </w:r>
    </w:p>
    <w:p>
      <w:pPr>
        <w:spacing w:after="60" w:line="280"/>
        <w:ind w:left="360"/>
      </w:pPr>
      <w:r>
        <w:rPr>
          <w:i/>
          <w:iCs/>
          <w:color w:val="666666"/>
          <w:sz w:val="19"/>
          <w:szCs w:val="19"/>
        </w:rPr>
        <w:t xml:space="preserve">Por qué importa: Define la regla de stock promocional de los bonos (5 unidades) y el procedimiento comercial.</w:t>
      </w:r>
    </w:p>
    <w:p>
      <w:pPr>
        <w:spacing w:after="120" w:line="280"/>
        <w:ind w:left="360"/>
      </w:pPr>
      <w:r>
        <w:rPr>
          <w:color w:val="8A6D1F"/>
          <w:sz w:val="19"/>
          <w:szCs w:val="19"/>
        </w:rPr>
        <w:t xml:space="preserve">Dónde se usa la respuesta: Constancia física y condiciones de bonos.</w:t>
      </w:r>
    </w:p>
    <w:p>
      <w:pPr>
        <w:spacing w:after="40" w:before="160"/>
      </w:pPr>
      <w:r>
        <w:rPr>
          <w:b/>
          <w:bCs/>
          <w:color w:val="0A1931"/>
          <w:sz w:val="22"/>
          <w:szCs w:val="22"/>
        </w:rPr>
        <w:t xml:space="preserve">7. </w:t>
      </w:r>
      <w:r>
        <w:rPr>
          <w:b/>
          <w:bCs/>
          <w:sz w:val="22"/>
          <w:szCs w:val="22"/>
        </w:rPr>
        <w:t xml:space="preserve">¿Quién firma la Constancia por la empresa (gerente, apoderado, jefa de ventas) y dónde se firma (solo oficina o también en obra)?</w:t>
      </w:r>
    </w:p>
    <w:p>
      <w:pPr>
        <w:spacing w:after="60" w:line="280"/>
        <w:ind w:left="360"/>
      </w:pPr>
      <w:r>
        <w:rPr>
          <w:i/>
          <w:iCs/>
          <w:color w:val="666666"/>
          <w:sz w:val="19"/>
          <w:szCs w:val="19"/>
        </w:rPr>
        <w:t xml:space="preserve">Por qué importa: El dictamen exige que la Constancia esté “entregada al cliente antes de su pago”; el procedimiento debe garantizarlo siempre.</w:t>
      </w:r>
    </w:p>
    <w:p>
      <w:pPr>
        <w:spacing w:after="120" w:line="280"/>
        <w:ind w:left="360"/>
      </w:pPr>
      <w:r>
        <w:rPr>
          <w:color w:val="8A6D1F"/>
          <w:sz w:val="19"/>
          <w:szCs w:val="19"/>
        </w:rPr>
        <w:t xml:space="preserve">Dónde se usa la respuesta: Procedimiento interno de ventas + Constancia física.</w:t>
      </w:r>
    </w:p>
    <w:p>
      <w:pPr>
        <w:spacing w:after="40" w:before="160"/>
      </w:pPr>
      <w:r>
        <w:rPr>
          <w:b/>
          <w:bCs/>
          <w:color w:val="0A1931"/>
          <w:sz w:val="22"/>
          <w:szCs w:val="22"/>
        </w:rPr>
        <w:t xml:space="preserve">8. </w:t>
      </w:r>
      <w:r>
        <w:rPr>
          <w:b/>
          <w:bCs/>
          <w:sz w:val="22"/>
          <w:szCs w:val="22"/>
        </w:rPr>
        <w:t xml:space="preserve">¿Existe ya una plantilla física de la Constancia de Separación? Pedir copia para el abogado.</w:t>
      </w:r>
    </w:p>
    <w:p>
      <w:pPr>
        <w:spacing w:after="60" w:line="280"/>
        <w:ind w:left="360"/>
      </w:pPr>
      <w:r>
        <w:rPr>
          <w:i/>
          <w:iCs/>
          <w:color w:val="666666"/>
          <w:sz w:val="19"/>
          <w:szCs w:val="19"/>
        </w:rPr>
        <w:t xml:space="preserve">Por qué importa: La plantilla actual debe incorporar las condiciones del dictamen: imputación íntegra a la cuota inicial, devolución bancaria 100% en 10 días hábiles, reglas de desistimiento.</w:t>
      </w:r>
    </w:p>
    <w:p>
      <w:pPr>
        <w:spacing w:after="120" w:line="280"/>
        <w:ind w:left="360"/>
      </w:pPr>
      <w:r>
        <w:rPr>
          <w:color w:val="8A6D1F"/>
          <w:sz w:val="19"/>
          <w:szCs w:val="19"/>
        </w:rPr>
        <w:t xml:space="preserve">Dónde se usa la respuesta: Entregar la plantilla al abogado → actualizarla → volver a fotocopiar para la sala.</w:t>
      </w:r>
    </w:p>
    <w:p>
      <w:pPr>
        <w:spacing w:after="40" w:before="160"/>
      </w:pPr>
      <w:r>
        <w:rPr>
          <w:b/>
          <w:bCs/>
          <w:color w:val="0A1931"/>
          <w:sz w:val="22"/>
          <w:szCs w:val="22"/>
        </w:rPr>
        <w:t xml:space="preserve">9. </w:t>
      </w:r>
      <w:r>
        <w:rPr>
          <w:b/>
          <w:bCs/>
          <w:sz w:val="22"/>
          <w:szCs w:val="22"/>
        </w:rPr>
        <w:t xml:space="preserve">¿Existe un modelo del futuro Contrato de Compraventa de Bien Futuro o minuta tipo? Pedir copia.</w:t>
      </w:r>
    </w:p>
    <w:p>
      <w:pPr>
        <w:spacing w:after="60" w:line="280"/>
        <w:ind w:left="360"/>
      </w:pPr>
      <w:r>
        <w:rPr>
          <w:i/>
          <w:iCs/>
          <w:color w:val="666666"/>
          <w:sz w:val="19"/>
          <w:szCs w:val="19"/>
        </w:rPr>
        <w:t xml:space="preserve">Por qué importa: La web remite las causales post-escritura “a lo pactado en dicho contrato notarial”. El abogado debe revisar ese modelo para cerrar el punto 8 del dictamen.</w:t>
      </w:r>
    </w:p>
    <w:p>
      <w:pPr>
        <w:spacing w:after="120" w:line="280"/>
        <w:ind w:left="360"/>
      </w:pPr>
      <w:r>
        <w:rPr>
          <w:color w:val="8A6D1F"/>
          <w:sz w:val="19"/>
          <w:szCs w:val="19"/>
        </w:rPr>
        <w:t xml:space="preserve">Dónde se usa la respuesta: Revisión del abogado + textos del sitio.</w:t>
      </w:r>
    </w:p>
    <w:p>
      <w:pPr>
        <w:pStyle w:val="Heading1"/>
        <w:pageBreakBefore/>
      </w:pPr>
      <w:r>
        <w:t xml:space="preserve">B. Financiamiento (respalda la regla de devolución publicada)</w:t>
      </w:r>
    </w:p>
    <w:p>
      <w:pPr>
        <w:spacing w:after="160" w:line="320"/>
      </w:pPr>
      <w:r>
        <w:rPr>
          <w:sz w:val="22"/>
          <w:szCs w:val="22"/>
        </w:rPr>
        <w:t xml:space="preserve">La web publica: “si el banco rechaza el financiamiento por causas no imputables al cliente antes de la firma de la minuta, se devuelve el 100% en 10 días hábiles”. Ventas debe validar el alcance real de esa regla.</w:t>
      </w:r>
    </w:p>
    <w:p>
      <w:pPr>
        <w:spacing w:after="40" w:before="160"/>
      </w:pPr>
      <w:r>
        <w:rPr>
          <w:b/>
          <w:bCs/>
          <w:color w:val="0A1931"/>
          <w:sz w:val="22"/>
          <w:szCs w:val="22"/>
        </w:rPr>
        <w:t xml:space="preserve">10. </w:t>
      </w:r>
      <w:r>
        <w:rPr>
          <w:b/>
          <w:bCs/>
          <w:sz w:val="22"/>
          <w:szCs w:val="22"/>
        </w:rPr>
        <w:t xml:space="preserve">¿Con qué bancos y cajas trabajan para los créditos hipotecarios? (BCP, Interbank, Caja Huancayo, MiVivienda…)</w:t>
      </w:r>
    </w:p>
    <w:p>
      <w:pPr>
        <w:spacing w:after="60" w:line="280"/>
        <w:ind w:left="360"/>
      </w:pPr>
      <w:r>
        <w:rPr>
          <w:i/>
          <w:iCs/>
          <w:color w:val="666666"/>
          <w:sz w:val="19"/>
          <w:szCs w:val="19"/>
        </w:rPr>
        <w:t xml:space="preserve">Por qué importa: Permite informar al cliente dónde evaluar su crédito y da contexto a la regla de devolución.</w:t>
      </w:r>
    </w:p>
    <w:p>
      <w:pPr>
        <w:spacing w:after="120" w:line="280"/>
        <w:ind w:left="360"/>
      </w:pPr>
      <w:r>
        <w:rPr>
          <w:color w:val="8A6D1F"/>
          <w:sz w:val="19"/>
          <w:szCs w:val="19"/>
        </w:rPr>
        <w:t xml:space="preserve">Dónde se usa la respuesta: FAQ y guía de separación del sitio.</w:t>
      </w:r>
    </w:p>
    <w:p>
      <w:pPr>
        <w:spacing w:after="40" w:before="160"/>
      </w:pPr>
      <w:r>
        <w:rPr>
          <w:b/>
          <w:bCs/>
          <w:color w:val="0A1931"/>
          <w:sz w:val="22"/>
          <w:szCs w:val="22"/>
        </w:rPr>
        <w:t xml:space="preserve">11. </w:t>
      </w:r>
      <w:r>
        <w:rPr>
          <w:b/>
          <w:bCs/>
          <w:sz w:val="22"/>
          <w:szCs w:val="22"/>
        </w:rPr>
        <w:t xml:space="preserve">¿La regla de devolución del 100% aplica igual si el financiamiento es de una caja municipal, de un fondo, o de la propia inmobiliaria a plazo?</w:t>
      </w:r>
    </w:p>
    <w:p>
      <w:pPr>
        <w:spacing w:after="60" w:line="280"/>
        <w:ind w:left="360"/>
      </w:pPr>
      <w:r>
        <w:rPr>
          <w:i/>
          <w:iCs/>
          <w:color w:val="666666"/>
          <w:sz w:val="19"/>
          <w:szCs w:val="19"/>
        </w:rPr>
        <w:t xml:space="preserve">Por qué importa: La web dice “financiamiento bancario”. Si también aceptan cajas u otras vías, hay que decidir si la regla se extiende o se acota.</w:t>
      </w:r>
    </w:p>
    <w:p>
      <w:pPr>
        <w:spacing w:after="120" w:line="280"/>
        <w:ind w:left="360"/>
      </w:pPr>
      <w:r>
        <w:rPr>
          <w:color w:val="8A6D1F"/>
          <w:sz w:val="19"/>
          <w:szCs w:val="19"/>
        </w:rPr>
        <w:t xml:space="preserve">Dónde se usa la respuesta: Términos y Condiciones (texto de devolución).</w:t>
      </w:r>
    </w:p>
    <w:p>
      <w:pPr>
        <w:spacing w:after="40" w:before="160"/>
      </w:pPr>
      <w:r>
        <w:rPr>
          <w:b/>
          <w:bCs/>
          <w:color w:val="0A1931"/>
          <w:sz w:val="22"/>
          <w:szCs w:val="22"/>
        </w:rPr>
        <w:t xml:space="preserve">12. </w:t>
      </w:r>
      <w:r>
        <w:rPr>
          <w:b/>
          <w:bCs/>
          <w:sz w:val="22"/>
          <w:szCs w:val="22"/>
        </w:rPr>
        <w:t xml:space="preserve">¿Hacen pre-evaluación crediticia ANTES de aceptar la separación de S/ 1,000?</w:t>
      </w:r>
    </w:p>
    <w:p>
      <w:pPr>
        <w:spacing w:after="60" w:line="280"/>
        <w:ind w:left="360"/>
      </w:pPr>
      <w:r>
        <w:rPr>
          <w:i/>
          <w:iCs/>
          <w:color w:val="666666"/>
          <w:sz w:val="19"/>
          <w:szCs w:val="19"/>
        </w:rPr>
        <w:t xml:space="preserve">Por qué importa: Si existe pre-evaluación, el riesgo de rechazo posterior baja y la regla publicada es más defendible; si no existe, conviene saberlo.</w:t>
      </w:r>
    </w:p>
    <w:p>
      <w:pPr>
        <w:spacing w:after="120" w:line="280"/>
        <w:ind w:left="360"/>
      </w:pPr>
      <w:r>
        <w:rPr>
          <w:color w:val="8A6D1F"/>
          <w:sz w:val="19"/>
          <w:szCs w:val="19"/>
        </w:rPr>
        <w:t xml:space="preserve">Dónde se usa la respuesta: Procedimiento comercial + coherencia con la regla publicada.</w:t>
      </w:r>
    </w:p>
    <w:p>
      <w:pPr>
        <w:spacing w:after="40" w:before="160"/>
      </w:pPr>
      <w:r>
        <w:rPr>
          <w:b/>
          <w:bCs/>
          <w:color w:val="0A1931"/>
          <w:sz w:val="22"/>
          <w:szCs w:val="22"/>
        </w:rPr>
        <w:t xml:space="preserve">13. </w:t>
      </w:r>
      <w:r>
        <w:rPr>
          <w:b/>
          <w:bCs/>
          <w:sz w:val="22"/>
          <w:szCs w:val="22"/>
        </w:rPr>
        <w:t xml:space="preserve">¿Qué requisitos piden al cliente para evaluar el crédito (ingresos mínimos, antigüedad laboral, inicial ahorrada)?</w:t>
      </w:r>
    </w:p>
    <w:p>
      <w:pPr>
        <w:spacing w:after="60" w:line="280"/>
        <w:ind w:left="360"/>
      </w:pPr>
      <w:r>
        <w:rPr>
          <w:i/>
          <w:iCs/>
          <w:color w:val="666666"/>
          <w:sz w:val="19"/>
          <w:szCs w:val="19"/>
        </w:rPr>
        <w:t xml:space="preserve">Por qué importa: Evita que separen clientes sin perfil real y quiebres de expectativa.</w:t>
      </w:r>
    </w:p>
    <w:p>
      <w:pPr>
        <w:spacing w:after="120" w:line="280"/>
        <w:ind w:left="360"/>
      </w:pPr>
      <w:r>
        <w:rPr>
          <w:color w:val="8A6D1F"/>
          <w:sz w:val="19"/>
          <w:szCs w:val="19"/>
        </w:rPr>
        <w:t xml:space="preserve">Dónde se usa la respuesta: Procedimiento interno; opcional publicar requisitos orientativos en la web.</w:t>
      </w:r>
    </w:p>
    <w:p>
      <w:pPr>
        <w:pStyle w:val="Heading1"/>
        <w:pageBreakBefore/>
      </w:pPr>
      <w:r>
        <w:t xml:space="preserve">C. Precios, IGV y costos adicionales (validar lo publicado)</w:t>
      </w:r>
    </w:p>
    <w:p>
      <w:pPr>
        <w:spacing w:after="160" w:line="320"/>
      </w:pPr>
      <w:r>
        <w:rPr>
          <w:sz w:val="22"/>
          <w:szCs w:val="22"/>
        </w:rPr>
        <w:t xml:space="preserve">El sitio ya publica “precio total al contado con IGV incluido; no incluye gastos notariales, gastos registrales ni estacionamiento o depósito, salvo indicación expresa en la cotización escrita”.</w:t>
      </w:r>
    </w:p>
    <w:p>
      <w:pPr>
        <w:spacing w:after="40" w:before="160"/>
      </w:pPr>
      <w:r>
        <w:rPr>
          <w:b/>
          <w:bCs/>
          <w:color w:val="0A1931"/>
          <w:sz w:val="22"/>
          <w:szCs w:val="22"/>
        </w:rPr>
        <w:t xml:space="preserve">14. </w:t>
      </w:r>
      <w:r>
        <w:rPr>
          <w:b/>
          <w:bCs/>
          <w:sz w:val="22"/>
          <w:szCs w:val="22"/>
        </w:rPr>
        <w:t xml:space="preserve">¿Los precios de cada tipo incluyen o NO incluyen una plaza de estacionamiento? Si se vende aparte: ¿cuánto cuesta y cuántas plazas hay?</w:t>
      </w:r>
    </w:p>
    <w:p>
      <w:pPr>
        <w:spacing w:after="60" w:line="280"/>
        <w:ind w:left="360"/>
      </w:pPr>
      <w:r>
        <w:rPr>
          <w:i/>
          <w:iCs/>
          <w:color w:val="666666"/>
          <w:sz w:val="19"/>
          <w:szCs w:val="19"/>
        </w:rPr>
        <w:t xml:space="preserve">Por qué importa: La web asume que NO se incluye. Si en la práctica sí se incluye en algún tipo, hay que corregir la publicación para evitar una sanción por información engañosa (Art. 4 y 5 de la Ley N° 29571).</w:t>
      </w:r>
    </w:p>
    <w:p>
      <w:pPr>
        <w:spacing w:after="120" w:line="280"/>
        <w:ind w:left="360"/>
      </w:pPr>
      <w:r>
        <w:rPr>
          <w:color w:val="8A6D1F"/>
          <w:sz w:val="19"/>
          <w:szCs w:val="19"/>
        </w:rPr>
        <w:t xml:space="preserve">Dónde se usa la respuesta: pricing.md, catálogo, API y textos legales del sitio.</w:t>
      </w:r>
    </w:p>
    <w:p>
      <w:pPr>
        <w:spacing w:after="40" w:before="160"/>
      </w:pPr>
      <w:r>
        <w:rPr>
          <w:b/>
          <w:bCs/>
          <w:color w:val="0A1931"/>
          <w:sz w:val="22"/>
          <w:szCs w:val="22"/>
        </w:rPr>
        <w:t xml:space="preserve">15. </w:t>
      </w:r>
      <w:r>
        <w:rPr>
          <w:b/>
          <w:bCs/>
          <w:sz w:val="22"/>
          <w:szCs w:val="22"/>
        </w:rPr>
        <w:t xml:space="preserve">¿Y los depósitos/losas de la unidad: incluidos, opcionales o con precio separado?</w:t>
      </w:r>
    </w:p>
    <w:p>
      <w:pPr>
        <w:spacing w:after="60" w:line="280"/>
        <w:ind w:left="360"/>
      </w:pPr>
      <w:r>
        <w:rPr>
          <w:i/>
          <w:iCs/>
          <w:color w:val="666666"/>
          <w:sz w:val="19"/>
          <w:szCs w:val="19"/>
        </w:rPr>
        <w:t xml:space="preserve">Por qué importa: Misma razón que la anterior.</w:t>
      </w:r>
    </w:p>
    <w:p>
      <w:pPr>
        <w:spacing w:after="120" w:line="280"/>
        <w:ind w:left="360"/>
      </w:pPr>
      <w:r>
        <w:rPr>
          <w:color w:val="8A6D1F"/>
          <w:sz w:val="19"/>
          <w:szCs w:val="19"/>
        </w:rPr>
        <w:t xml:space="preserve">Dónde se usa la respuesta: Catálogo y textos legales.</w:t>
      </w:r>
    </w:p>
    <w:p>
      <w:pPr>
        <w:spacing w:after="40" w:before="160"/>
      </w:pPr>
      <w:r>
        <w:rPr>
          <w:b/>
          <w:bCs/>
          <w:color w:val="0A1931"/>
          <w:sz w:val="22"/>
          <w:szCs w:val="22"/>
        </w:rPr>
        <w:t xml:space="preserve">16. </w:t>
      </w:r>
      <w:r>
        <w:rPr>
          <w:b/>
          <w:bCs/>
          <w:sz w:val="22"/>
          <w:szCs w:val="22"/>
        </w:rPr>
        <w:t xml:space="preserve">¿Quién paga los gastos notariales y registrales de la compraventa (el comprador, la empresa, o repartidos)? ¿Tienen un monto estimado por unidad?</w:t>
      </w:r>
    </w:p>
    <w:p>
      <w:pPr>
        <w:spacing w:after="60" w:line="280"/>
        <w:ind w:left="360"/>
      </w:pPr>
      <w:r>
        <w:rPr>
          <w:i/>
          <w:iCs/>
          <w:color w:val="666666"/>
          <w:sz w:val="19"/>
          <w:szCs w:val="19"/>
        </w:rPr>
        <w:t xml:space="preserve">Por qué importa: El sitio los declara como “no incluidos” sin decir quién los asume; precisarlo evita reclamaciones.</w:t>
      </w:r>
    </w:p>
    <w:p>
      <w:pPr>
        <w:spacing w:after="120" w:line="280"/>
        <w:ind w:left="360"/>
      </w:pPr>
      <w:r>
        <w:rPr>
          <w:color w:val="8A6D1F"/>
          <w:sz w:val="19"/>
          <w:szCs w:val="19"/>
        </w:rPr>
        <w:t xml:space="preserve">Dónde se usa la respuesta: Términos y Condiciones y cotizaciones.</w:t>
      </w:r>
    </w:p>
    <w:p>
      <w:pPr>
        <w:spacing w:after="40" w:before="160"/>
      </w:pPr>
      <w:r>
        <w:rPr>
          <w:b/>
          <w:bCs/>
          <w:color w:val="0A1931"/>
          <w:sz w:val="22"/>
          <w:szCs w:val="22"/>
        </w:rPr>
        <w:t xml:space="preserve">17. </w:t>
      </w:r>
      <w:r>
        <w:rPr>
          <w:b/>
          <w:bCs/>
          <w:sz w:val="22"/>
          <w:szCs w:val="22"/>
        </w:rPr>
        <w:t xml:space="preserve">¿Cotizan o aceptan pagos en dólares alguna vez? (El texto legal incluye “tipo de cambio referencial S/ 3.80”.)</w:t>
      </w:r>
    </w:p>
    <w:p>
      <w:pPr>
        <w:spacing w:after="60" w:line="280"/>
        <w:ind w:left="360"/>
      </w:pPr>
      <w:r>
        <w:rPr>
          <w:i/>
          <w:iCs/>
          <w:color w:val="666666"/>
          <w:sz w:val="19"/>
          <w:szCs w:val="19"/>
        </w:rPr>
        <w:t xml:space="preserve">Por qué importa: Si NUNCA operan en dólares, esa línea conviene retirarla para no prometer lo que no existe.</w:t>
      </w:r>
    </w:p>
    <w:p>
      <w:pPr>
        <w:spacing w:after="120" w:line="280"/>
        <w:ind w:left="360"/>
      </w:pPr>
      <w:r>
        <w:rPr>
          <w:color w:val="8A6D1F"/>
          <w:sz w:val="19"/>
          <w:szCs w:val="19"/>
        </w:rPr>
        <w:t xml:space="preserve">Dónde se usa la respuesta: Texto B de precios en Términos y Condiciones.</w:t>
      </w:r>
    </w:p>
    <w:p>
      <w:pPr>
        <w:spacing w:after="40" w:before="160"/>
      </w:pPr>
      <w:r>
        <w:rPr>
          <w:b/>
          <w:bCs/>
          <w:color w:val="0A1931"/>
          <w:sz w:val="22"/>
          <w:szCs w:val="22"/>
        </w:rPr>
        <w:t xml:space="preserve">18. </w:t>
      </w:r>
      <w:r>
        <w:rPr>
          <w:b/>
          <w:bCs/>
          <w:sz w:val="22"/>
          <w:szCs w:val="22"/>
        </w:rPr>
        <w:t xml:space="preserve">¿El precio de lista incluye los acabados entregados tal como se muestran, o existen upgrades con costo (pisos, cocina, closets)?</w:t>
      </w:r>
    </w:p>
    <w:p>
      <w:pPr>
        <w:spacing w:after="60" w:line="280"/>
        <w:ind w:left="360"/>
      </w:pPr>
      <w:r>
        <w:rPr>
          <w:i/>
          <w:iCs/>
          <w:color w:val="666666"/>
          <w:sz w:val="19"/>
          <w:szCs w:val="19"/>
        </w:rPr>
        <w:t xml:space="preserve">Por qué importa: Los renders son referenciales; si hay upgrades pagados, deben informarse antes de contratar.</w:t>
      </w:r>
    </w:p>
    <w:p>
      <w:pPr>
        <w:spacing w:after="120" w:line="280"/>
        <w:ind w:left="360"/>
      </w:pPr>
      <w:r>
        <w:rPr>
          <w:color w:val="8A6D1F"/>
          <w:sz w:val="19"/>
          <w:szCs w:val="19"/>
        </w:rPr>
        <w:t xml:space="preserve">Dónde se usa la respuesta: Catálogo, FAQ y guía del sitio.</w:t>
      </w:r>
    </w:p>
    <w:p>
      <w:pPr>
        <w:spacing w:after="40" w:before="160"/>
      </w:pPr>
      <w:r>
        <w:rPr>
          <w:b/>
          <w:bCs/>
          <w:color w:val="0A1931"/>
          <w:sz w:val="22"/>
          <w:szCs w:val="22"/>
        </w:rPr>
        <w:t xml:space="preserve">19. </w:t>
      </w:r>
      <w:r>
        <w:rPr>
          <w:b/>
          <w:bCs/>
          <w:sz w:val="22"/>
          <w:szCs w:val="22"/>
        </w:rPr>
        <w:t xml:space="preserve">El contador/gerencia ya confirmó que los precios incluyen IGV (régimen de primera venta). Que ventas valide que así lo cuela en sus cotizaciones escritas.</w:t>
      </w:r>
    </w:p>
    <w:p>
      <w:pPr>
        <w:spacing w:after="60" w:line="280"/>
        <w:ind w:left="360"/>
      </w:pPr>
      <w:r>
        <w:rPr>
          <w:i/>
          <w:iCs/>
          <w:color w:val="666666"/>
          <w:sz w:val="19"/>
          <w:szCs w:val="19"/>
        </w:rPr>
        <w:t xml:space="preserve">Por qué importa: La web lo afirma públicamente; si las cotizaciones físicas dicen otra cosa, hay incoherencia documental.</w:t>
      </w:r>
    </w:p>
    <w:p>
      <w:pPr>
        <w:spacing w:after="120" w:line="280"/>
        <w:ind w:left="360"/>
      </w:pPr>
      <w:r>
        <w:rPr>
          <w:color w:val="8A6D1F"/>
          <w:sz w:val="19"/>
          <w:szCs w:val="19"/>
        </w:rPr>
        <w:t xml:space="preserve">Dónde se usa la respuesta: Plantilla de cotización de ventas.</w:t>
      </w:r>
    </w:p>
    <w:p>
      <w:pPr>
        <w:pStyle w:val="Heading1"/>
        <w:pageBreakBefore/>
      </w:pPr>
      <w:r>
        <w:t xml:space="preserve">D. Bonos de preventa (validar los datos del ejemplo)</w:t>
      </w:r>
    </w:p>
    <w:p>
      <w:pPr>
        <w:spacing w:after="160" w:line="320"/>
      </w:pPr>
      <w:r>
        <w:rPr>
          <w:sz w:val="22"/>
          <w:szCs w:val="22"/>
        </w:rPr>
        <w:t xml:space="preserve">La web publica: “válidos del 01/10/2026 al 31/12/2026 o hasta agotar el stock promocional de cinco (05) unidades; se descuentan sobre el precio de lista previa firma de la Constancia; no canjeables por efectivo ni acumulables”. ESTOS DATOS SON DEL EJEMPLO DEL ABOGADO, no confirmados por la operación.</w:t>
      </w:r>
    </w:p>
    <w:p>
      <w:pPr>
        <w:spacing w:after="40" w:before="160"/>
      </w:pPr>
      <w:r>
        <w:rPr>
          <w:b/>
          <w:bCs/>
          <w:color w:val="0A1931"/>
          <w:sz w:val="22"/>
          <w:szCs w:val="22"/>
        </w:rPr>
        <w:t xml:space="preserve">20. </w:t>
      </w:r>
      <w:r>
        <w:rPr>
          <w:b/>
          <w:bCs/>
          <w:sz w:val="22"/>
          <w:szCs w:val="22"/>
        </w:rPr>
        <w:t xml:space="preserve">Confirmar o corregir las fechas de vigencia de la campaña (01/10/2026 al 31/12/2026).</w:t>
      </w:r>
    </w:p>
    <w:p>
      <w:pPr>
        <w:spacing w:after="60" w:line="280"/>
        <w:ind w:left="360"/>
      </w:pPr>
      <w:r>
        <w:rPr>
          <w:i/>
          <w:iCs/>
          <w:color w:val="666666"/>
          <w:sz w:val="19"/>
          <w:szCs w:val="19"/>
        </w:rPr>
        <w:t xml:space="preserve">Por qué importa: Si las fechas reales son otras, la web está publicando una promoción con vigencia falsa — riesgo directo bajo el D. Leg. N° 1044.</w:t>
      </w:r>
    </w:p>
    <w:p>
      <w:pPr>
        <w:spacing w:after="120" w:line="280"/>
        <w:ind w:left="360"/>
      </w:pPr>
      <w:r>
        <w:rPr>
          <w:color w:val="8A6D1F"/>
          <w:sz w:val="19"/>
          <w:szCs w:val="19"/>
        </w:rPr>
        <w:t xml:space="preserve">Dónde se usa la respuesta: Términos y Condiciones, pricing.md, llms.txt, SKILL.md.</w:t>
      </w:r>
    </w:p>
    <w:p>
      <w:pPr>
        <w:spacing w:after="40" w:before="160"/>
      </w:pPr>
      <w:r>
        <w:rPr>
          <w:b/>
          <w:bCs/>
          <w:color w:val="0A1931"/>
          <w:sz w:val="22"/>
          <w:szCs w:val="22"/>
        </w:rPr>
        <w:t xml:space="preserve">21. </w:t>
      </w:r>
      <w:r>
        <w:rPr>
          <w:b/>
          <w:bCs/>
          <w:sz w:val="22"/>
          <w:szCs w:val="22"/>
        </w:rPr>
        <w:t xml:space="preserve">Confirmar o corregir el stock promocional (¿realmente son 5 unidades? ¿para toda la campaña o por tipología?).</w:t>
      </w:r>
    </w:p>
    <w:p>
      <w:pPr>
        <w:spacing w:after="60" w:line="280"/>
        <w:ind w:left="360"/>
      </w:pPr>
      <w:r>
        <w:rPr>
          <w:i/>
          <w:iCs/>
          <w:color w:val="666666"/>
          <w:sz w:val="19"/>
          <w:szCs w:val="19"/>
        </w:rPr>
        <w:t xml:space="preserve">Por qué importa: Misma razón: el stock mínimo debe ser real.</w:t>
      </w:r>
    </w:p>
    <w:p>
      <w:pPr>
        <w:spacing w:after="120" w:line="280"/>
        <w:ind w:left="360"/>
      </w:pPr>
      <w:r>
        <w:rPr>
          <w:color w:val="8A6D1F"/>
          <w:sz w:val="19"/>
          <w:szCs w:val="19"/>
        </w:rPr>
        <w:t xml:space="preserve">Dónde se usa la respuesta: Mismos textos que la pregunta anterior.</w:t>
      </w:r>
    </w:p>
    <w:p>
      <w:pPr>
        <w:spacing w:after="40" w:before="160"/>
      </w:pPr>
      <w:r>
        <w:rPr>
          <w:b/>
          <w:bCs/>
          <w:color w:val="0A1931"/>
          <w:sz w:val="22"/>
          <w:szCs w:val="22"/>
        </w:rPr>
        <w:t xml:space="preserve">22. </w:t>
      </w:r>
      <w:r>
        <w:rPr>
          <w:b/>
          <w:bCs/>
          <w:sz w:val="22"/>
          <w:szCs w:val="22"/>
        </w:rPr>
        <w:t xml:space="preserve">¿Los bonos aplican a todas las tipologías (A, B, C, D, G) o solo a algunas? ¿El monto del bono es distinto por tipo?</w:t>
      </w:r>
    </w:p>
    <w:p>
      <w:pPr>
        <w:spacing w:after="60" w:line="280"/>
        <w:ind w:left="360"/>
      </w:pPr>
      <w:r>
        <w:rPr>
          <w:i/>
          <w:iCs/>
          <w:color w:val="666666"/>
          <w:sz w:val="19"/>
          <w:szCs w:val="19"/>
        </w:rPr>
        <w:t xml:space="preserve">Por qué importa: El sitio publica un rango general (S/ 24,900–47,850 “según tipología”). La asignación por tipo debe existir en las cotizaciones.</w:t>
      </w:r>
    </w:p>
    <w:p>
      <w:pPr>
        <w:spacing w:after="120" w:line="280"/>
        <w:ind w:left="360"/>
      </w:pPr>
      <w:r>
        <w:rPr>
          <w:color w:val="8A6D1F"/>
          <w:sz w:val="19"/>
          <w:szCs w:val="19"/>
        </w:rPr>
        <w:t xml:space="preserve">Dónde se usa la respuesta: Catálogo y cotizaciones escritas.</w:t>
      </w:r>
    </w:p>
    <w:p>
      <w:pPr>
        <w:spacing w:after="40" w:before="160"/>
      </w:pPr>
      <w:r>
        <w:rPr>
          <w:b/>
          <w:bCs/>
          <w:color w:val="0A1931"/>
          <w:sz w:val="22"/>
          <w:szCs w:val="22"/>
        </w:rPr>
        <w:t xml:space="preserve">23. </w:t>
      </w:r>
      <w:r>
        <w:rPr>
          <w:b/>
          <w:bCs/>
          <w:sz w:val="22"/>
          <w:szCs w:val="22"/>
        </w:rPr>
        <w:t xml:space="preserve">¿Cómo se aplica exactamente el bono: descuento directo del precio de lista, o imputación a la cuota inicial?</w:t>
      </w:r>
    </w:p>
    <w:p>
      <w:pPr>
        <w:spacing w:after="60" w:line="280"/>
        <w:ind w:left="360"/>
      </w:pPr>
      <w:r>
        <w:rPr>
          <w:i/>
          <w:iCs/>
          <w:color w:val="666666"/>
          <w:sz w:val="19"/>
          <w:szCs w:val="19"/>
        </w:rPr>
        <w:t xml:space="preserve">Por qué importa: La web dice “se descuentan sobre el precio de lista previa firma de la Constancia”. Validar el mecanismo real.</w:t>
      </w:r>
    </w:p>
    <w:p>
      <w:pPr>
        <w:spacing w:after="120" w:line="280"/>
        <w:ind w:left="360"/>
      </w:pPr>
      <w:r>
        <w:rPr>
          <w:color w:val="8A6D1F"/>
          <w:sz w:val="19"/>
          <w:szCs w:val="19"/>
        </w:rPr>
        <w:t xml:space="preserve">Dónde se usa la respuesta: Texto C de bonos + Constancia.</w:t>
      </w:r>
    </w:p>
    <w:p>
      <w:pPr>
        <w:spacing w:after="40" w:before="160"/>
      </w:pPr>
      <w:r>
        <w:rPr>
          <w:b/>
          <w:bCs/>
          <w:color w:val="0A1931"/>
          <w:sz w:val="22"/>
          <w:szCs w:val="22"/>
        </w:rPr>
        <w:t xml:space="preserve">24. </w:t>
      </w:r>
      <w:r>
        <w:rPr>
          <w:b/>
          <w:bCs/>
          <w:sz w:val="22"/>
          <w:szCs w:val="22"/>
        </w:rPr>
        <w:t xml:space="preserve">¿Qué pasa con los clientes que YA separaron antes de la vigencia de la campaña? ¿Y quién ya negoció un descuento equivalente?</w:t>
      </w:r>
    </w:p>
    <w:p>
      <w:pPr>
        <w:spacing w:after="60" w:line="280"/>
        <w:ind w:left="360"/>
      </w:pPr>
      <w:r>
        <w:rPr>
          <w:i/>
          <w:iCs/>
          <w:color w:val="666666"/>
          <w:sz w:val="19"/>
          <w:szCs w:val="19"/>
        </w:rPr>
        <w:t xml:space="preserve">Por qué importa: Evitar doble descuento o reclamos de trato desigual.</w:t>
      </w:r>
    </w:p>
    <w:p>
      <w:pPr>
        <w:spacing w:after="120" w:line="280"/>
        <w:ind w:left="360"/>
      </w:pPr>
      <w:r>
        <w:rPr>
          <w:color w:val="8A6D1F"/>
          <w:sz w:val="19"/>
          <w:szCs w:val="19"/>
        </w:rPr>
        <w:t xml:space="preserve">Dónde se usa la respuesta: Reglas internas + posible ajuste del texto de no acumulación.</w:t>
      </w:r>
    </w:p>
    <w:p>
      <w:pPr>
        <w:spacing w:after="40" w:before="160"/>
      </w:pPr>
      <w:r>
        <w:rPr>
          <w:b/>
          <w:bCs/>
          <w:color w:val="0A1931"/>
          <w:sz w:val="22"/>
          <w:szCs w:val="22"/>
        </w:rPr>
        <w:t xml:space="preserve">25. </w:t>
      </w:r>
      <w:r>
        <w:rPr>
          <w:b/>
          <w:bCs/>
          <w:sz w:val="22"/>
          <w:szCs w:val="22"/>
        </w:rPr>
        <w:t xml:space="preserve">¿Qué campaña sigue después del 31/12/2026: se renueva, cambia o se retira de la web?</w:t>
      </w:r>
    </w:p>
    <w:p>
      <w:pPr>
        <w:spacing w:after="60" w:line="280"/>
        <w:ind w:left="360"/>
      </w:pPr>
      <w:r>
        <w:rPr>
          <w:i/>
          <w:iCs/>
          <w:color w:val="666666"/>
          <w:sz w:val="19"/>
          <w:szCs w:val="19"/>
        </w:rPr>
        <w:t xml:space="preserve">Por qué importa: La web tendrá que modificarse ese día; el equipo debe decidirlo con anticipación.</w:t>
      </w:r>
    </w:p>
    <w:p>
      <w:pPr>
        <w:spacing w:after="120" w:line="280"/>
        <w:ind w:left="360"/>
      </w:pPr>
      <w:r>
        <w:rPr>
          <w:color w:val="8A6D1F"/>
          <w:sz w:val="19"/>
          <w:szCs w:val="19"/>
        </w:rPr>
        <w:t xml:space="preserve">Dónde se usa la respuesta: Términos, pricing.md y una tarea de calendario interna.</w:t>
      </w:r>
    </w:p>
    <w:p>
      <w:pPr>
        <w:pStyle w:val="Heading1"/>
        <w:pageBreakBefore/>
      </w:pPr>
      <w:r>
        <w:t xml:space="preserve">E. Entrega y datos del proyecto (Art. 77 de la Ley N° 29571)</w:t>
      </w:r>
    </w:p>
    <w:p>
      <w:pPr>
        <w:spacing w:after="160" w:line="320"/>
      </w:pPr>
      <w:r>
        <w:rPr>
          <w:sz w:val="22"/>
          <w:szCs w:val="22"/>
        </w:rPr>
        <w:t xml:space="preserve">El bloque legal de identificación del proyecto está OMITIDO del sitio hasta contar con estos datos. Con ellos se publica de inmediato.</w:t>
      </w:r>
    </w:p>
    <w:p>
      <w:pPr>
        <w:spacing w:after="40" w:before="160"/>
      </w:pPr>
      <w:r>
        <w:rPr>
          <w:b/>
          <w:bCs/>
          <w:color w:val="0A1931"/>
          <w:sz w:val="22"/>
          <w:szCs w:val="22"/>
        </w:rPr>
        <w:t xml:space="preserve">26. </w:t>
      </w:r>
      <w:r>
        <w:rPr>
          <w:b/>
          <w:bCs/>
          <w:sz w:val="22"/>
          <w:szCs w:val="22"/>
        </w:rPr>
        <w:t xml:space="preserve">¿Cuál es la Partida Electrónica de SUNARP del terreno matriz del proyecto?</w:t>
      </w:r>
    </w:p>
    <w:p>
      <w:pPr>
        <w:spacing w:after="60" w:line="280"/>
        <w:ind w:left="360"/>
      </w:pPr>
      <w:r>
        <w:rPr>
          <w:i/>
          <w:iCs/>
          <w:color w:val="666666"/>
          <w:sz w:val="19"/>
          <w:szCs w:val="19"/>
        </w:rPr>
        <w:t xml:space="preserve">Por qué importa: El Art. 77 exige identificar el proyecto; el bloque legal ya está redactado esperando este dato.</w:t>
      </w:r>
    </w:p>
    <w:p>
      <w:pPr>
        <w:spacing w:after="120" w:line="280"/>
        <w:ind w:left="360"/>
      </w:pPr>
      <w:r>
        <w:rPr>
          <w:color w:val="8A6D1F"/>
          <w:sz w:val="19"/>
          <w:szCs w:val="19"/>
        </w:rPr>
        <w:t xml:space="preserve">Dónde se usa la respuesta: Bloque Art. 77 en Términos y Condiciones.</w:t>
      </w:r>
    </w:p>
    <w:p>
      <w:pPr>
        <w:spacing w:after="40" w:before="160"/>
      </w:pPr>
      <w:r>
        <w:rPr>
          <w:b/>
          <w:bCs/>
          <w:color w:val="0A1931"/>
          <w:sz w:val="22"/>
          <w:szCs w:val="22"/>
        </w:rPr>
        <w:t xml:space="preserve">27. </w:t>
      </w:r>
      <w:r>
        <w:rPr>
          <w:b/>
          <w:bCs/>
          <w:sz w:val="22"/>
          <w:szCs w:val="22"/>
        </w:rPr>
        <w:t xml:space="preserve">¿Cuál es el número de expediente o resolución de la licencia de edificación ante la Municipalidad Provincial de Huancayo?</w:t>
      </w:r>
    </w:p>
    <w:p>
      <w:pPr>
        <w:spacing w:after="60" w:line="280"/>
        <w:ind w:left="360"/>
      </w:pPr>
      <w:r>
        <w:rPr>
          <w:i/>
          <w:iCs/>
          <w:color w:val="666666"/>
          <w:sz w:val="19"/>
          <w:szCs w:val="19"/>
        </w:rPr>
        <w:t xml:space="preserve">Por qué importa: Ídem; además es la pregunta #1 de cualquier comprador serio.</w:t>
      </w:r>
    </w:p>
    <w:p>
      <w:pPr>
        <w:spacing w:after="120" w:line="280"/>
        <w:ind w:left="360"/>
      </w:pPr>
      <w:r>
        <w:rPr>
          <w:color w:val="8A6D1F"/>
          <w:sz w:val="19"/>
          <w:szCs w:val="19"/>
        </w:rPr>
        <w:t xml:space="preserve">Dónde se usa la respuesta: Bloque Art. 77.</w:t>
      </w:r>
    </w:p>
    <w:p>
      <w:pPr>
        <w:spacing w:after="40" w:before="160"/>
      </w:pPr>
      <w:r>
        <w:rPr>
          <w:b/>
          <w:bCs/>
          <w:color w:val="0A1931"/>
          <w:sz w:val="22"/>
          <w:szCs w:val="22"/>
        </w:rPr>
        <w:t xml:space="preserve">28. </w:t>
      </w:r>
      <w:r>
        <w:rPr>
          <w:b/>
          <w:bCs/>
          <w:sz w:val="22"/>
          <w:szCs w:val="22"/>
        </w:rPr>
        <w:t xml:space="preserve">¿Cuál es la Partida Registral de la empresa en el Registro de Personas Jurídicas de SUNARP Huancayo?</w:t>
      </w:r>
    </w:p>
    <w:p>
      <w:pPr>
        <w:spacing w:after="60" w:line="280"/>
        <w:ind w:left="360"/>
      </w:pPr>
      <w:r>
        <w:rPr>
          <w:i/>
          <w:iCs/>
          <w:color w:val="666666"/>
          <w:sz w:val="19"/>
          <w:szCs w:val="19"/>
        </w:rPr>
        <w:t xml:space="preserve">Por qué importa: El bloque del abogado la menciona (“inscrita en la Oficina Registral de Huancayo”); conviene citar la partida.</w:t>
      </w:r>
    </w:p>
    <w:p>
      <w:pPr>
        <w:spacing w:after="120" w:line="280"/>
        <w:ind w:left="360"/>
      </w:pPr>
      <w:r>
        <w:rPr>
          <w:color w:val="8A6D1F"/>
          <w:sz w:val="19"/>
          <w:szCs w:val="19"/>
        </w:rPr>
        <w:t xml:space="preserve">Dónde se usa la respuesta: Bloque Art. 77.</w:t>
      </w:r>
    </w:p>
    <w:p>
      <w:pPr>
        <w:spacing w:after="40" w:before="160"/>
      </w:pPr>
      <w:r>
        <w:rPr>
          <w:b/>
          <w:bCs/>
          <w:color w:val="0A1931"/>
          <w:sz w:val="22"/>
          <w:szCs w:val="22"/>
        </w:rPr>
        <w:t xml:space="preserve">29. </w:t>
      </w:r>
      <w:r>
        <w:rPr>
          <w:b/>
          <w:bCs/>
          <w:sz w:val="22"/>
          <w:szCs w:val="22"/>
        </w:rPr>
        <w:t xml:space="preserve">¿La fecha programada de entrega puede precisarse más que “Año 2027”? (¿mes, trimestre?) ¿La entrega es escalonada por pisos o alas?</w:t>
      </w:r>
    </w:p>
    <w:p>
      <w:pPr>
        <w:spacing w:after="60" w:line="280"/>
        <w:ind w:left="360"/>
      </w:pPr>
      <w:r>
        <w:rPr>
          <w:i/>
          <w:iCs/>
          <w:color w:val="666666"/>
          <w:sz w:val="19"/>
          <w:szCs w:val="19"/>
        </w:rPr>
        <w:t xml:space="preserve">Por qué importa: El sitio publica “Año 2027” en más de una decena de lugares; una fecha más precisa reduce expectativas incumplidas y habilita el bloque Art. 77.</w:t>
      </w:r>
    </w:p>
    <w:p>
      <w:pPr>
        <w:spacing w:after="120" w:line="280"/>
        <w:ind w:left="360"/>
      </w:pPr>
      <w:r>
        <w:rPr>
          <w:color w:val="8A6D1F"/>
          <w:sz w:val="19"/>
          <w:szCs w:val="19"/>
        </w:rPr>
        <w:t xml:space="preserve">Dónde se usa la respuesta: Hero, FAQ, schema, guías, llms.txt, bloque Art. 77.</w:t>
      </w:r>
    </w:p>
    <w:p>
      <w:pPr>
        <w:spacing w:after="40" w:before="160"/>
      </w:pPr>
      <w:r>
        <w:rPr>
          <w:b/>
          <w:bCs/>
          <w:color w:val="0A1931"/>
          <w:sz w:val="22"/>
          <w:szCs w:val="22"/>
        </w:rPr>
        <w:t xml:space="preserve">30. </w:t>
      </w:r>
      <w:r>
        <w:rPr>
          <w:b/>
          <w:bCs/>
          <w:sz w:val="22"/>
          <w:szCs w:val="22"/>
        </w:rPr>
        <w:t xml:space="preserve">¿Los contratos incluyen periodos de gracia por clima u otras causales? ¿De cuántos días?</w:t>
      </w:r>
    </w:p>
    <w:p>
      <w:pPr>
        <w:spacing w:after="60" w:line="280"/>
        <w:ind w:left="360"/>
      </w:pPr>
      <w:r>
        <w:rPr>
          <w:i/>
          <w:iCs/>
          <w:color w:val="666666"/>
          <w:sz w:val="19"/>
          <w:szCs w:val="19"/>
        </w:rPr>
        <w:t xml:space="preserve">Por qué importa: El comprador de bien futuro debe conocerlo antes de firmar.</w:t>
      </w:r>
    </w:p>
    <w:p>
      <w:pPr>
        <w:spacing w:after="120" w:line="280"/>
        <w:ind w:left="360"/>
      </w:pPr>
      <w:r>
        <w:rPr>
          <w:color w:val="8A6D1F"/>
          <w:sz w:val="19"/>
          <w:szCs w:val="19"/>
        </w:rPr>
        <w:t xml:space="preserve">Dónde se usa la respuesta: Texto legal + revisión del abogado de la minuta.</w:t>
      </w:r>
    </w:p>
    <w:p>
      <w:pPr>
        <w:pStyle w:val="Heading1"/>
        <w:pageBreakBefore/>
      </w:pPr>
      <w:r>
        <w:t xml:space="preserve">F. Documentos físicos en la sala de ventas</w:t>
      </w:r>
    </w:p>
    <w:p>
      <w:pPr>
        <w:spacing w:after="40" w:before="160"/>
      </w:pPr>
      <w:r>
        <w:rPr>
          <w:b/>
          <w:bCs/>
          <w:color w:val="0A1931"/>
          <w:sz w:val="22"/>
          <w:szCs w:val="22"/>
        </w:rPr>
        <w:t xml:space="preserve">31. </w:t>
      </w:r>
      <w:r>
        <w:rPr>
          <w:b/>
          <w:bCs/>
          <w:sz w:val="22"/>
          <w:szCs w:val="22"/>
        </w:rPr>
        <w:t xml:space="preserve">¿Existe el libro físico de respaldo del Libro de Reclamaciones en la sala? ¿Dónde está ubicado, quién lo custodia y cómo se registra una hoja transferida?</w:t>
      </w:r>
    </w:p>
    <w:p>
      <w:pPr>
        <w:spacing w:after="60" w:line="280"/>
        <w:ind w:left="360"/>
      </w:pPr>
      <w:r>
        <w:rPr>
          <w:i/>
          <w:iCs/>
          <w:color w:val="666666"/>
          <w:sz w:val="19"/>
          <w:szCs w:val="19"/>
        </w:rPr>
        <w:t xml:space="preserve">Por qué importa: El D.S. N° 011-2011-PCM exige el libro en el punto de atención; la web tiene un marcador pendiente solo por esta confirmación.</w:t>
      </w:r>
    </w:p>
    <w:p>
      <w:pPr>
        <w:spacing w:after="120" w:line="280"/>
        <w:ind w:left="360"/>
      </w:pPr>
      <w:r>
        <w:rPr>
          <w:color w:val="8A6D1F"/>
          <w:sz w:val="19"/>
          <w:szCs w:val="19"/>
        </w:rPr>
        <w:t xml:space="preserve">Dónde se usa la respuesta: Retira el último marcador pendiente de Términos y Condiciones §5.</w:t>
      </w:r>
    </w:p>
    <w:p>
      <w:pPr>
        <w:spacing w:after="40" w:before="160"/>
      </w:pPr>
      <w:r>
        <w:rPr>
          <w:b/>
          <w:bCs/>
          <w:color w:val="0A1931"/>
          <w:sz w:val="22"/>
          <w:szCs w:val="22"/>
        </w:rPr>
        <w:t xml:space="preserve">32. </w:t>
      </w:r>
      <w:r>
        <w:rPr>
          <w:b/>
          <w:bCs/>
          <w:sz w:val="22"/>
          <w:szCs w:val="22"/>
        </w:rPr>
        <w:t xml:space="preserve">¿El aviso oficial (formato Anexo II) está impreso, en tamaño A4 y visible en el punto de atención al público?</w:t>
      </w:r>
    </w:p>
    <w:p>
      <w:pPr>
        <w:spacing w:after="60" w:line="280"/>
        <w:ind w:left="360"/>
      </w:pPr>
      <w:r>
        <w:rPr>
          <w:i/>
          <w:iCs/>
          <w:color w:val="666666"/>
          <w:sz w:val="19"/>
          <w:szCs w:val="19"/>
        </w:rPr>
        <w:t xml:space="preserve">Por qué importa: El formato del aviso es obligatorio en el establecimiento.</w:t>
      </w:r>
    </w:p>
    <w:p>
      <w:pPr>
        <w:spacing w:after="120" w:line="280"/>
        <w:ind w:left="360"/>
      </w:pPr>
      <w:r>
        <w:rPr>
          <w:color w:val="8A6D1F"/>
          <w:sz w:val="19"/>
          <w:szCs w:val="19"/>
        </w:rPr>
        <w:t xml:space="preserve">Dónde se usa la respuesta: Cierre del punto 7 del checklist legal.</w:t>
      </w:r>
    </w:p>
    <w:p>
      <w:pPr>
        <w:spacing w:after="40" w:before="160"/>
      </w:pPr>
      <w:r>
        <w:rPr>
          <w:b/>
          <w:bCs/>
          <w:color w:val="0A1931"/>
          <w:sz w:val="22"/>
          <w:szCs w:val="22"/>
        </w:rPr>
        <w:t xml:space="preserve">33. </w:t>
      </w:r>
      <w:r>
        <w:rPr>
          <w:b/>
          <w:bCs/>
          <w:sz w:val="22"/>
          <w:szCs w:val="22"/>
        </w:rPr>
        <w:t xml:space="preserve">¿La versión impresa del dossier que entregan en sala coincide con la web (precios con IGV, bonos con vigencia y stock, condiciones de devolución)?</w:t>
      </w:r>
    </w:p>
    <w:p>
      <w:pPr>
        <w:spacing w:after="60" w:line="280"/>
        <w:ind w:left="360"/>
      </w:pPr>
      <w:r>
        <w:rPr>
          <w:i/>
          <w:iCs/>
          <w:color w:val="666666"/>
          <w:sz w:val="19"/>
          <w:szCs w:val="19"/>
        </w:rPr>
        <w:t xml:space="preserve">Por qué importa: Si el dossier físico tiene precios o condiciones distintas, hay dos versiones oficiales contradictorias.</w:t>
      </w:r>
    </w:p>
    <w:p>
      <w:pPr>
        <w:spacing w:after="120" w:line="280"/>
        <w:ind w:left="360"/>
      </w:pPr>
      <w:r>
        <w:rPr>
          <w:color w:val="8A6D1F"/>
          <w:sz w:val="19"/>
          <w:szCs w:val="19"/>
        </w:rPr>
        <w:t xml:space="preserve">Dónde se usa la respuesta: Actualizar el PDF físico o el público del sitio.</w:t>
      </w:r>
    </w:p>
    <w:p>
      <w:pPr>
        <w:spacing w:after="40" w:before="160"/>
      </w:pPr>
      <w:r>
        <w:rPr>
          <w:b/>
          <w:bCs/>
          <w:color w:val="0A1931"/>
          <w:sz w:val="22"/>
          <w:szCs w:val="22"/>
        </w:rPr>
        <w:t xml:space="preserve">34. </w:t>
      </w:r>
      <w:r>
        <w:rPr>
          <w:b/>
          <w:bCs/>
          <w:sz w:val="22"/>
          <w:szCs w:val="22"/>
        </w:rPr>
        <w:t xml:space="preserve">¿El horario real de atención coincide con el publicado (lunes a sábado 8:30–13:30 y 15:00–18:30)? ¿Atienden domingos o feriados?</w:t>
      </w:r>
    </w:p>
    <w:p>
      <w:pPr>
        <w:spacing w:after="60" w:line="280"/>
        <w:ind w:left="360"/>
      </w:pPr>
      <w:r>
        <w:rPr>
          <w:i/>
          <w:iCs/>
          <w:color w:val="666666"/>
          <w:sz w:val="19"/>
          <w:szCs w:val="19"/>
        </w:rPr>
        <w:t xml:space="preserve">Por qué importa: El horario está publicado en 13 lugares del sitio incluido el schema para buscadores.</w:t>
      </w:r>
    </w:p>
    <w:p>
      <w:pPr>
        <w:spacing w:after="120" w:line="280"/>
        <w:ind w:left="360"/>
      </w:pPr>
      <w:r>
        <w:rPr>
          <w:color w:val="8A6D1F"/>
          <w:sz w:val="19"/>
          <w:szCs w:val="19"/>
        </w:rPr>
        <w:t xml:space="preserve">Dónde se usa la respuesta: Solo si difiere: corrección masiva en el sitio.</w:t>
      </w:r>
    </w:p>
    <w:p>
      <w:pPr>
        <w:pStyle w:val="Heading1"/>
        <w:pageBreakBefore/>
      </w:pPr>
      <w:r>
        <w:t xml:space="preserve">G. Operación comercial y coherencia de canales</w:t>
      </w:r>
    </w:p>
    <w:p>
      <w:pPr>
        <w:spacing w:after="40" w:before="160"/>
      </w:pPr>
      <w:r>
        <w:rPr>
          <w:b/>
          <w:bCs/>
          <w:color w:val="0A1931"/>
          <w:sz w:val="22"/>
          <w:szCs w:val="22"/>
        </w:rPr>
        <w:t xml:space="preserve">35. </w:t>
      </w:r>
      <w:r>
        <w:rPr>
          <w:b/>
          <w:bCs/>
          <w:sz w:val="22"/>
          <w:szCs w:val="22"/>
        </w:rPr>
        <w:t xml:space="preserve">¿Cuál es el correo oficial para clientes: holdingreynagaredes@gmail.com (publicado en la web) o existe otro de ventas? ¿Quién lo revisa y cada cuánto?</w:t>
      </w:r>
    </w:p>
    <w:p>
      <w:pPr>
        <w:spacing w:after="60" w:line="280"/>
        <w:ind w:left="360"/>
      </w:pPr>
      <w:r>
        <w:rPr>
          <w:i/>
          <w:iCs/>
          <w:color w:val="666666"/>
          <w:sz w:val="19"/>
          <w:szCs w:val="19"/>
        </w:rPr>
        <w:t xml:space="preserve">Por qué importa: El correo publicado es también el canal formal de derechos ARCO; debe estar operativo.</w:t>
      </w:r>
    </w:p>
    <w:p>
      <w:pPr>
        <w:spacing w:after="120" w:line="280"/>
        <w:ind w:left="360"/>
      </w:pPr>
      <w:r>
        <w:rPr>
          <w:color w:val="8A6D1F"/>
          <w:sz w:val="19"/>
          <w:szCs w:val="19"/>
        </w:rPr>
        <w:t xml:space="preserve">Dónde se usa la respuesta: Política de Privacidad §9 y pie de página.</w:t>
      </w:r>
    </w:p>
    <w:p>
      <w:pPr>
        <w:spacing w:after="40" w:before="160"/>
      </w:pPr>
      <w:r>
        <w:rPr>
          <w:b/>
          <w:bCs/>
          <w:color w:val="0A1931"/>
          <w:sz w:val="22"/>
          <w:szCs w:val="22"/>
        </w:rPr>
        <w:t xml:space="preserve">36. </w:t>
      </w:r>
      <w:r>
        <w:rPr>
          <w:b/>
          <w:bCs/>
          <w:sz w:val="22"/>
          <w:szCs w:val="22"/>
        </w:rPr>
        <w:t xml:space="preserve">¿Quién atiende los mensajes que llegan por WhatsApp del botón “Separa con S/ 1,000” y en cuánto tiempo responden?</w:t>
      </w:r>
    </w:p>
    <w:p>
      <w:pPr>
        <w:spacing w:after="60" w:line="280"/>
        <w:ind w:left="360"/>
      </w:pPr>
      <w:r>
        <w:rPr>
          <w:i/>
          <w:iCs/>
          <w:color w:val="666666"/>
          <w:sz w:val="19"/>
          <w:szCs w:val="19"/>
        </w:rPr>
        <w:t xml:space="preserve">Por qué importa: El botón genera expectativa de atención inmediata; un SLA interno evita reclamos por falta de respuesta.</w:t>
      </w:r>
    </w:p>
    <w:p>
      <w:pPr>
        <w:spacing w:after="120" w:line="280"/>
        <w:ind w:left="360"/>
      </w:pPr>
      <w:r>
        <w:rPr>
          <w:color w:val="8A6D1F"/>
          <w:sz w:val="19"/>
          <w:szCs w:val="19"/>
        </w:rPr>
        <w:t xml:space="preserve">Dónde se usa la respuesta: Procedimiento interno (no necesariamente público).</w:t>
      </w:r>
    </w:p>
    <w:p>
      <w:pPr>
        <w:spacing w:after="40" w:before="160"/>
      </w:pPr>
      <w:r>
        <w:rPr>
          <w:b/>
          <w:bCs/>
          <w:color w:val="0A1931"/>
          <w:sz w:val="22"/>
          <w:szCs w:val="22"/>
        </w:rPr>
        <w:t xml:space="preserve">37. </w:t>
      </w:r>
      <w:r>
        <w:rPr>
          <w:b/>
          <w:bCs/>
          <w:sz w:val="22"/>
          <w:szCs w:val="22"/>
        </w:rPr>
        <w:t xml:space="preserve">¿Cuándo estarán disponibles los precios y fichas de los Tipos F y H (hoy “próximamente” en el catálogo)?</w:t>
      </w:r>
    </w:p>
    <w:p>
      <w:pPr>
        <w:spacing w:after="60" w:line="280"/>
        <w:ind w:left="360"/>
      </w:pPr>
      <w:r>
        <w:rPr>
          <w:i/>
          <w:iCs/>
          <w:color w:val="666666"/>
          <w:sz w:val="19"/>
          <w:szCs w:val="19"/>
        </w:rPr>
        <w:t xml:space="preserve">Por qué importa: El catálogo los anuncia sin precio; la campaña de bonos de 5 unidades podría incluirlos o no.</w:t>
      </w:r>
    </w:p>
    <w:p>
      <w:pPr>
        <w:spacing w:after="120" w:line="280"/>
        <w:ind w:left="360"/>
      </w:pPr>
      <w:r>
        <w:rPr>
          <w:color w:val="8A6D1F"/>
          <w:sz w:val="19"/>
          <w:szCs w:val="19"/>
        </w:rPr>
        <w:t xml:space="preserve">Dónde se usa la respuesta: Catálogo, pricing.md y API cuando existan.</w:t>
      </w:r>
    </w:p>
    <w:p>
      <w:pPr>
        <w:spacing w:after="40" w:before="160"/>
      </w:pPr>
      <w:r>
        <w:rPr>
          <w:b/>
          <w:bCs/>
          <w:color w:val="0A1931"/>
          <w:sz w:val="22"/>
          <w:szCs w:val="22"/>
        </w:rPr>
        <w:t xml:space="preserve">38. </w:t>
      </w:r>
      <w:r>
        <w:rPr>
          <w:b/>
          <w:bCs/>
          <w:sz w:val="22"/>
          <w:szCs w:val="22"/>
        </w:rPr>
        <w:t xml:space="preserve">¿La disponibilidad real de unidades coincide con el catálogo web? ¿Qué tipos tienen mayor stock hoy?</w:t>
      </w:r>
    </w:p>
    <w:p>
      <w:pPr>
        <w:spacing w:after="60" w:line="280"/>
        <w:ind w:left="360"/>
      </w:pPr>
      <w:r>
        <w:rPr>
          <w:i/>
          <w:iCs/>
          <w:color w:val="666666"/>
          <w:sz w:val="19"/>
          <w:szCs w:val="19"/>
        </w:rPr>
        <w:t xml:space="preserve">Por qué importa: La web vende sobre el catálogo; si un tipo está agotado debe retirarse o marcarse para no vender aire.</w:t>
      </w:r>
    </w:p>
    <w:p>
      <w:pPr>
        <w:spacing w:after="120" w:line="280"/>
        <w:ind w:left="360"/>
      </w:pPr>
      <w:r>
        <w:rPr>
          <w:color w:val="8A6D1F"/>
          <w:sz w:val="19"/>
          <w:szCs w:val="19"/>
        </w:rPr>
        <w:t xml:space="preserve">Dónde se usa la respuesta: Catálogo y botones de reserva del sitio.</w:t>
      </w:r>
    </w:p>
    <w:p>
      <w:pPr>
        <w:spacing w:after="40" w:before="160"/>
      </w:pPr>
      <w:r>
        <w:rPr>
          <w:b/>
          <w:bCs/>
          <w:color w:val="0A1931"/>
          <w:sz w:val="22"/>
          <w:szCs w:val="22"/>
        </w:rPr>
        <w:t xml:space="preserve">39. </w:t>
      </w:r>
      <w:r>
        <w:rPr>
          <w:b/>
          <w:bCs/>
          <w:sz w:val="22"/>
          <w:szCs w:val="22"/>
        </w:rPr>
        <w:t xml:space="preserve">¿Algún vendedor usa promesas distintas a las publicadas (descuentos adicionales, plazos distintos, entregas prometidas a mano)?</w:t>
      </w:r>
    </w:p>
    <w:p>
      <w:pPr>
        <w:spacing w:after="60" w:line="280"/>
        <w:ind w:left="360"/>
      </w:pPr>
      <w:r>
        <w:rPr>
          <w:i/>
          <w:iCs/>
          <w:color w:val="666666"/>
          <w:sz w:val="19"/>
          <w:szCs w:val="19"/>
        </w:rPr>
        <w:t xml:space="preserve">Por qué importa: Las promesas verbales de vendedores obligan a la empresa ante INDECOPI aunque contradigan la web.</w:t>
      </w:r>
    </w:p>
    <w:p>
      <w:pPr>
        <w:spacing w:after="120" w:line="280"/>
        <w:ind w:left="360"/>
      </w:pPr>
      <w:r>
        <w:rPr>
          <w:color w:val="8A6D1F"/>
          <w:sz w:val="19"/>
          <w:szCs w:val="19"/>
        </w:rPr>
        <w:t xml:space="preserve">Dónde se usa la respuesta: Capacitación interna; la web es la única fuente oficial.</w:t>
      </w:r>
    </w:p>
    <w:p>
      <w:pPr>
        <w:spacing w:after="100"/>
      </w:pPr>
    </w:p>
    <w:p>
      <w:pPr>
        <w:spacing w:before="200"/>
      </w:pPr>
      <w:r>
        <w:rPr>
          <w:b/>
          <w:bCs/>
          <w:sz w:val="22"/>
          <w:szCs w:val="22"/>
        </w:rPr>
        <w:t xml:space="preserve">Total: 39 preguntas. </w:t>
      </w:r>
      <w:r>
        <w:rPr>
          <w:sz w:val="22"/>
          <w:szCs w:val="22"/>
        </w:rPr>
        <w:t xml:space="preserve">Prioridad 1 (esta semana): A1–A4, D1–D2, F1–F2 (condiciones que la web ya remite). Prioridad 2: A5–A10, B1–B4, C1–C7, D3–D6. Prioridad 3: E, G.</w:t>
      </w:r>
    </w:p>
    <w:p>
      <w:pPr>
        <w:spacing w:after="160" w:line="320"/>
      </w:pPr>
      <w:r>
        <w:rPr>
          <w:sz w:val="22"/>
          <w:szCs w:val="22"/>
        </w:rPr>
        <w:t xml:space="preserve">Las respuestas escritas (correo o WhatsApp del responsable de ventas) sirven como evidencia; idealmente adjuntar la Constancia de Separación y la minuta modelo para el abogado.</w:t>
      </w:r>
    </w:p>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Checklist de aclaraciones — Área de Ventas · Torres Titanium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A1931"/>
      <w:sz w:val="44"/>
      <w:szCs w:val="44"/>
    </w:rPr>
  </w:style>
  <w:style w:type="paragraph" w:styleId="Heading1">
    <w:name w:val="Heading 1"/>
    <w:basedOn w:val="Normal"/>
    <w:next w:val="Normal"/>
    <w:qFormat/>
    <w:pPr>
      <w:spacing w:after="160" w:before="240"/>
      <w:outlineLvl w:val="0"/>
    </w:pPr>
    <w:rPr>
      <w:rFonts w:ascii="Arial" w:cs="Arial" w:eastAsia="Arial" w:hAnsi="Arial"/>
      <w:b/>
      <w:bCs/>
      <w:color w:val="0A1931"/>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8A6D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2026-10-17T19:54:02.839Z</dcterms:created>
  <dcterms:modified xsi:type="dcterms:W3CDTF">2026-10-17T19:54:02.841Z</dcterms:modified>
</cp:coreProperties>
</file>

<file path=docProps/custom.xml><?xml version="1.0" encoding="utf-8"?>
<Properties xmlns="http://schemas.openxmlformats.org/officeDocument/2006/custom-properties" xmlns:vt="http://schemas.openxmlformats.org/officeDocument/2006/docPropsVTypes"/>
</file>