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8A6D1F"/>
          <w:sz w:val="22"/>
          <w:szCs w:val="22"/>
        </w:rPr>
        <w:t xml:space="preserve">HOLDING INVERSIONES REYNAGA S.A.C.</w:t>
      </w:r>
    </w:p>
    <w:p>
      <w:pPr>
        <w:spacing w:after="80" w:before="240"/>
        <w:jc w:val="center"/>
      </w:pPr>
      <w:r>
        <w:rPr>
          <w:b/>
          <w:bCs/>
          <w:color w:val="0A1931"/>
          <w:sz w:val="38"/>
          <w:szCs w:val="38"/>
        </w:rPr>
        <w:t xml:space="preserve">Revisión de Términos y Condiciones</w:t>
      </w:r>
    </w:p>
    <w:p>
      <w:pPr>
        <w:jc w:val="center"/>
      </w:pPr>
      <w:r>
        <w:rPr>
          <w:color w:val="666666"/>
          <w:sz w:val="24"/>
          <w:szCs w:val="24"/>
        </w:rPr>
        <w:t xml:space="preserve">Segunda ronda: qué verificar para dar el conforme</w:t>
      </w:r>
    </w:p>
    <w:p>
      <w:pPr>
        <w:spacing w:before="300"/>
        <w:jc w:val="center"/>
      </w:pPr>
      <w:r>
        <w:rPr>
          <w:color w:val="666666"/>
          <w:sz w:val="20"/>
          <w:szCs w:val="20"/>
        </w:rPr>
        <w:t xml:space="preserve">Complemento del dictamen del 17/10/2026 — cambios aplicados el 18/10/2026</w:t>
      </w:r>
    </w:p>
    <w:p>
      <w:pPr>
        <w:jc w:val="center"/>
      </w:pPr>
      <w:r>
        <w:rPr>
          <w:color w:val="666666"/>
          <w:sz w:val="20"/>
          <w:szCs w:val="20"/>
        </w:rPr>
        <w:t xml:space="preserve">Sitio: inmobiliariaholdingreynaga.com · Política de Privacidad v2026-10-18.1</w:t>
      </w:r>
    </w:p>
    <w:p>
      <w:pPr>
        <w:spacing w:before="400"/>
      </w:pPr>
      <w:r>
        <w:rPr>
          <w:sz w:val="21"/>
          <w:szCs w:val="21"/>
        </w:rPr>
        <w:t xml:space="preserve">Cómo usar este documento: la sección 1 lista los textos que CAMBIARON respecto de tu dictamen (con el texto final citado y una pregunta concreta); la sección 2, los cuatro textos que tu dictamen no abordó y ya están publicados sin marcadores; la sección 3, los documentos físicos que debes revisar o producir; la sección 4, los puntos de tu dictamen aún abiertos. Al final hay una tabla de conformidades para responder punto por punto.</w:t>
      </w:r>
    </w:p>
    <w:p>
      <w:pPr>
        <w:pStyle w:val="Heading1"/>
        <w:pageBreakBefore/>
      </w:pPr>
      <w:r>
        <w:t xml:space="preserve">1. Textos que cambiaron después de tu dictamen</w:t>
      </w:r>
    </w:p>
    <w:p>
      <w:pPr>
        <w:spacing w:after="160" w:line="320"/>
      </w:pPr>
      <w:r>
        <w:rPr>
          <w:sz w:val="22"/>
          <w:szCs w:val="22"/>
        </w:rPr>
        <w:t xml:space="preserve">Tu dictamen fue implementado el 18/10/2026. Ese mismo día, el área de ventas precisó la operación real y se ajustaron cinco textos. Cada ajuste se cita tal como está publicado hoy.</w:t>
      </w:r>
    </w:p>
    <w:p>
      <w:pPr>
        <w:pStyle w:val="Heading2"/>
      </w:pPr>
      <w:r>
        <w:t xml:space="preserve">1.1 Devolución de la separación — regla bancaria retirada</w:t>
      </w:r>
    </w:p>
    <w:p>
      <w:pPr>
        <w:spacing w:after="140" w:line="300"/>
      </w:pPr>
      <w:r>
        <w:rPr>
          <w:sz w:val="22"/>
          <w:szCs w:val="22"/>
        </w:rPr>
        <w:t xml:space="preserve">Tu texto A incluía: “si el banco rechaza el financiamiento por causas no imputables, se devuelve el 100% en diez (10) días hábiles”. El área de ventas informó que </w:t>
      </w:r>
      <w:r>
        <w:rPr>
          <w:b/>
          <w:bCs/>
          <w:sz w:val="22"/>
          <w:szCs w:val="22"/>
        </w:rPr>
        <w:t xml:space="preserve">esa regla no existe en la operación</w:t>
      </w:r>
      <w:r>
        <w:rPr>
          <w:sz w:val="22"/>
          <w:szCs w:val="22"/>
        </w:rPr>
        <w:t xml:space="preserve"> y que la empresa no trabaja con bancos directamente (los financiamientos son los programas estatales Techo Propio y Mi Crédito MiVivienda, o pago directo). Se retiró la regla para no publicar un beneficio que no se otorga.</w:t>
      </w:r>
    </w:p>
    <w:p>
      <w:pPr>
        <w:spacing w:after="160" w:line="320"/>
      </w:pPr>
      <w:r>
        <w:rPr>
          <w:sz w:val="22"/>
          <w:szCs w:val="22"/>
        </w:rPr>
        <w:t xml:space="preserve">El texto publicado ahora es:</w:t>
      </w:r>
    </w:p>
    <w:p>
      <w:pPr>
        <w:shd w:fill="F5F6F8" w:val="clear"/>
        <w:spacing w:after="140" w:line="290"/>
        <w:ind w:left="360" w:right="360"/>
      </w:pPr>
      <w:r>
        <w:rPr>
          <w:i/>
          <w:iCs/>
          <w:color w:val="333333"/>
          <w:sz w:val="20"/>
          <w:szCs w:val="20"/>
        </w:rPr>
        <w:t xml:space="preserve">“Devolución del monto de separación: se rige por las condiciones expresamente previstas en el texto de la Constancia de Separación entregada al cliente antes de su pago. Suscritos el Contrato de Arras y, posteriormente, el contrato de compraventa, las causales de resolución y penalidades se regirán por lo pactado en dichos contratos.”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26"/>
      </w:tblGrid>
      <w:tr>
        <w:tc>
          <w:tcPr>
            <w:tcW w:type="dxa" w:w="9026"/>
            <w:tcBorders>
              <w:top w:val="single" w:color="BBBBBB" w:sz="4"/>
              <w:left w:val="single" w:color="BBBBBB" w:sz="4"/>
              <w:bottom w:val="single" w:color="BBBBBB" w:sz="4"/>
              <w:right w:val="single" w:color="BBBBBB" w:sz="4"/>
            </w:tcBorders>
            <w:shd w:fill="FFF7E0" w:val="clear"/>
          </w:tcPr>
          <w:p>
            <w:pPr>
              <w:spacing w:after="0" w:line="290"/>
            </w:pPr>
            <w:r>
              <w:rPr>
                <w:b/>
                <w:bCs/>
                <w:color w:val="8A6D1F"/>
                <w:sz w:val="20"/>
                <w:szCs w:val="20"/>
              </w:rPr>
              <w:t xml:space="preserve">PREGUNTA PARA EL ABOGADO: </w:t>
            </w:r>
            <w:r>
              <w:rPr>
                <w:sz w:val="20"/>
                <w:szCs w:val="20"/>
              </w:rPr>
              <w:t xml:space="preserve">¿Es conforme esta remisión a la Constancia (documento que el cliente recibe ANTES de pagar), en reemplazo de la regla bancaria? ¿O consideras necesario publicar un resumen de las condiciones de devolución (según la respuesta de ventas: se devuelve S/ 500 del S/ 1,000, proporcional si pagó más)?</w:t>
            </w:r>
          </w:p>
        </w:tc>
      </w:tr>
    </w:tbl>
    <w:p>
      <w:pPr>
        <w:pStyle w:val="Heading2"/>
      </w:pPr>
      <w:r>
        <w:t xml:space="preserve">1.2 Bonos — patrón de campaña con términos propios</w:t>
      </w:r>
    </w:p>
    <w:p>
      <w:pPr>
        <w:spacing w:after="140" w:line="300"/>
      </w:pPr>
      <w:r>
        <w:rPr>
          <w:sz w:val="22"/>
          <w:szCs w:val="22"/>
        </w:rPr>
        <w:t xml:space="preserve">Tu punto 8C exigía vigencia y stock mínimo publicados (D. Leg. N° 1044). El área de ventas informó que los bonos corresponden a los programas estatales (25 unidades Techo Propio, 25 Mi Crédito MiVivienda) y que </w:t>
      </w:r>
      <w:r>
        <w:rPr>
          <w:b/>
          <w:bCs/>
          <w:sz w:val="22"/>
          <w:szCs w:val="22"/>
        </w:rPr>
        <w:t xml:space="preserve">no hay una fecha exacta de campaña</w:t>
      </w:r>
      <w:r>
        <w:rPr>
          <w:sz w:val="22"/>
          <w:szCs w:val="22"/>
        </w:rPr>
        <w:t xml:space="preserve">. Para no publicar fechas sin respaldo, se adoptó el patrón habitual del sector (comparable con Ancosur): remitir a los términos de cada campaña.</w:t>
      </w:r>
    </w:p>
    <w:p>
      <w:pPr>
        <w:spacing w:after="160" w:line="320"/>
      </w:pPr>
      <w:r>
        <w:rPr>
          <w:sz w:val="22"/>
          <w:szCs w:val="22"/>
        </w:rPr>
        <w:t xml:space="preserve">El texto publicado ahora es:</w:t>
      </w:r>
    </w:p>
    <w:p>
      <w:pPr>
        <w:shd w:fill="F5F6F8" w:val="clear"/>
        <w:spacing w:after="140" w:line="290"/>
        <w:ind w:left="360" w:right="360"/>
      </w:pPr>
      <w:r>
        <w:rPr>
          <w:i/>
          <w:iCs/>
          <w:color w:val="333333"/>
          <w:sz w:val="20"/>
          <w:szCs w:val="20"/>
        </w:rPr>
        <w:t xml:space="preserve">“Bonos promocionales de preventa: descuentos aplicables desde S/ 24,900.00 hasta S/ 47,850.00 según la tipología de departamento seleccionada. Toda campaña promocional se rige por sus propios términos específicos, que indican su vigencia y el stock mínimo disponible, en cumplimiento del Código de Protección y Defensa del Consumidor. Las condiciones aplicables a su unidad se informan en la cotización escrita y previa firma de la Constancia de Separación. Los bonos se descuentan sobre el precio de lista, no son canjeables por dinero en efectivo ni acumulables con otras promociones.”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26"/>
      </w:tblGrid>
      <w:tr>
        <w:tc>
          <w:tcPr>
            <w:tcW w:type="dxa" w:w="9026"/>
            <w:tcBorders>
              <w:top w:val="single" w:color="BBBBBB" w:sz="4"/>
              <w:left w:val="single" w:color="BBBBBB" w:sz="4"/>
              <w:bottom w:val="single" w:color="BBBBBB" w:sz="4"/>
              <w:right w:val="single" w:color="BBBBBB" w:sz="4"/>
            </w:tcBorders>
            <w:shd w:fill="FFF7E0" w:val="clear"/>
          </w:tcPr>
          <w:p>
            <w:pPr>
              <w:spacing w:after="0" w:line="290"/>
            </w:pPr>
            <w:r>
              <w:rPr>
                <w:b/>
                <w:bCs/>
                <w:color w:val="8A6D1F"/>
                <w:sz w:val="20"/>
                <w:szCs w:val="20"/>
              </w:rPr>
              <w:t xml:space="preserve">PREGUNTA PARA EL ABOGADO: </w:t>
            </w:r>
            <w:r>
              <w:rPr>
                <w:sz w:val="20"/>
                <w:szCs w:val="20"/>
              </w:rPr>
              <w:t xml:space="preserve">¿La remisión a los términos específicos de cada campaña (indicando vigencia y stock mínimo) satisface el requisito del D. Leg. N° 1044, o prefieres que se publiquen fechas concretas cuando la campaña se defina?</w:t>
            </w:r>
          </w:p>
        </w:tc>
      </w:tr>
    </w:tbl>
    <w:p>
      <w:pPr>
        <w:pStyle w:val="Heading2"/>
      </w:pPr>
      <w:r>
        <w:t xml:space="preserve">1.3 Contrato de Arras como instrumento del 10%</w:t>
      </w:r>
    </w:p>
    <w:p>
      <w:pPr>
        <w:spacing w:after="140" w:line="300"/>
      </w:pPr>
      <w:r>
        <w:rPr>
          <w:sz w:val="22"/>
          <w:szCs w:val="22"/>
        </w:rPr>
        <w:t xml:space="preserve">El área de ventas indicó que el documento que se suscribe con el pago del 10% ya no es un “Contrato de Compraventa de Bien Futuro” sino un </w:t>
      </w:r>
      <w:r>
        <w:rPr>
          <w:b/>
          <w:bCs/>
          <w:sz w:val="22"/>
          <w:szCs w:val="22"/>
        </w:rPr>
        <w:t xml:space="preserve">contrato de arras</w:t>
      </w:r>
      <w:r>
        <w:rPr>
          <w:sz w:val="22"/>
          <w:szCs w:val="22"/>
        </w:rPr>
        <w:t xml:space="preserve">. Se actualizaron todas las referencias del sitio (términos, FAQ, guías, precios, textos para agentes de IA) a: “Contrato de Arras y, posteriormente, el contrato de compraventa”.</w:t>
      </w:r>
    </w:p>
    <w:p>
      <w:pPr>
        <w:shd w:fill="F5F6F8" w:val="clear"/>
        <w:spacing w:after="140" w:line="290"/>
        <w:ind w:left="360" w:right="360"/>
      </w:pPr>
      <w:r>
        <w:rPr>
          <w:i/>
          <w:iCs/>
          <w:color w:val="333333"/>
          <w:sz w:val="20"/>
          <w:szCs w:val="20"/>
        </w:rPr>
        <w:t xml:space="preserve">“El abono de S/ 1,000.00 se imputará íntegramente como parte de la cuota inicial (10% del valor del departamento) al momento de suscribirse el Contrato de Arras.”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26"/>
      </w:tblGrid>
      <w:tr>
        <w:tc>
          <w:tcPr>
            <w:tcW w:type="dxa" w:w="9026"/>
            <w:tcBorders>
              <w:top w:val="single" w:color="BBBBBB" w:sz="4"/>
              <w:left w:val="single" w:color="BBBBBB" w:sz="4"/>
              <w:bottom w:val="single" w:color="BBBBBB" w:sz="4"/>
              <w:right w:val="single" w:color="BBBBBB" w:sz="4"/>
            </w:tcBorders>
            <w:shd w:fill="FFF7E0" w:val="clear"/>
          </w:tcPr>
          <w:p>
            <w:pPr>
              <w:spacing w:after="0" w:line="290"/>
            </w:pPr>
            <w:r>
              <w:rPr>
                <w:b/>
                <w:bCs/>
                <w:color w:val="8A6D1F"/>
                <w:sz w:val="20"/>
                <w:szCs w:val="20"/>
              </w:rPr>
              <w:t xml:space="preserve">PREGUNTA PARA EL ABOGADO: </w:t>
            </w:r>
            <w:r>
              <w:rPr>
                <w:sz w:val="20"/>
                <w:szCs w:val="20"/>
              </w:rPr>
              <w:t xml:space="preserve">¿Es correcto el nombre del instrumento y la fórmula “Contrato de Arras y, posteriormente, el contrato de compraventa”? ¿Las arras son penitenciales o confirmatorias? (Ver también la sección 3: plantilla pendiente).</w:t>
            </w:r>
          </w:p>
        </w:tc>
      </w:tr>
    </w:tbl>
    <w:p>
      <w:pPr>
        <w:pStyle w:val="Heading2"/>
      </w:pPr>
      <w:r>
        <w:t xml:space="preserve">1.4 Fecha de entrega — rango publicado</w:t>
      </w:r>
    </w:p>
    <w:p>
      <w:pPr>
        <w:spacing w:after="160" w:line="320"/>
      </w:pPr>
      <w:r>
        <w:rPr>
          <w:sz w:val="22"/>
          <w:szCs w:val="22"/>
        </w:rPr>
        <w:t xml:space="preserve">El área de ventas precisó la entrega como un rango. El sitio publica ahora “entre octubre y diciembre de 2027” (antes: “Año 2027”) en el FAQ, los datos estructurados, los precios y los textos para agentes de 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26"/>
      </w:tblGrid>
      <w:tr>
        <w:tc>
          <w:tcPr>
            <w:tcW w:type="dxa" w:w="9026"/>
            <w:tcBorders>
              <w:top w:val="single" w:color="BBBBBB" w:sz="4"/>
              <w:left w:val="single" w:color="BBBBBB" w:sz="4"/>
              <w:bottom w:val="single" w:color="BBBBBB" w:sz="4"/>
              <w:right w:val="single" w:color="BBBBBB" w:sz="4"/>
            </w:tcBorders>
            <w:shd w:fill="FFF7E0" w:val="clear"/>
          </w:tcPr>
          <w:p>
            <w:pPr>
              <w:spacing w:after="0" w:line="290"/>
            </w:pPr>
            <w:r>
              <w:rPr>
                <w:b/>
                <w:bCs/>
                <w:color w:val="8A6D1F"/>
                <w:sz w:val="20"/>
                <w:szCs w:val="20"/>
              </w:rPr>
              <w:t xml:space="preserve">PREGUNTA PARA EL ABOGADO: </w:t>
            </w:r>
            <w:r>
              <w:rPr>
                <w:sz w:val="20"/>
                <w:szCs w:val="20"/>
              </w:rPr>
              <w:t xml:space="preserve">¿El rango octubre–diciembre de 2027 es suficiente, o recomiendas esperar la fecha contractual (y los periodos de gracia por clima, aún sin definir) antes de publicar mayor precisión?</w:t>
            </w:r>
          </w:p>
        </w:tc>
      </w:tr>
    </w:tbl>
    <w:p>
      <w:pPr>
        <w:pStyle w:val="Heading2"/>
      </w:pPr>
      <w:r>
        <w:t xml:space="preserve">1.5 Estacionamiento</w:t>
      </w:r>
    </w:p>
    <w:p>
      <w:pPr>
        <w:spacing w:after="160" w:line="320"/>
      </w:pPr>
      <w:r>
        <w:rPr>
          <w:sz w:val="22"/>
          <w:szCs w:val="22"/>
        </w:rPr>
        <w:t xml:space="preserve">Ventas confirmó que las plazas se venden aparte del precio del departamento y se pagan al contado. El sitio lo publica así en los términos, el FAQ y el texto de precios: “Los precios no incluyen… el costo de las plazas de estacionamiento (que se venden aparte y se pagan al contado) ni de depósitos, salvo que se indique expresamente lo contrario en la cotización escrita.”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26"/>
      </w:tblGrid>
      <w:tr>
        <w:tc>
          <w:tcPr>
            <w:tcW w:type="dxa" w:w="9026"/>
            <w:tcBorders>
              <w:top w:val="single" w:color="BBBBBB" w:sz="4"/>
              <w:left w:val="single" w:color="BBBBBB" w:sz="4"/>
              <w:bottom w:val="single" w:color="BBBBBB" w:sz="4"/>
              <w:right w:val="single" w:color="BBBBBB" w:sz="4"/>
            </w:tcBorders>
            <w:shd w:fill="FFF7E0" w:val="clear"/>
          </w:tcPr>
          <w:p>
            <w:pPr>
              <w:spacing w:after="0" w:line="290"/>
            </w:pPr>
            <w:r>
              <w:rPr>
                <w:b/>
                <w:bCs/>
                <w:color w:val="8A6D1F"/>
                <w:sz w:val="20"/>
                <w:szCs w:val="20"/>
              </w:rPr>
              <w:t xml:space="preserve">PREGUNTA PARA EL ABOGADO: </w:t>
            </w:r>
            <w:r>
              <w:rPr>
                <w:sz w:val="20"/>
                <w:szCs w:val="20"/>
              </w:rPr>
              <w:t xml:space="preserve">Sin observación esperada. Confirmar conformidad.</w:t>
            </w:r>
          </w:p>
        </w:tc>
      </w:tr>
    </w:tbl>
    <w:p>
      <w:pPr>
        <w:pStyle w:val="Heading1"/>
        <w:pageBreakBefore/>
      </w:pPr>
      <w:r>
        <w:t xml:space="preserve">2. Cuatro textos que tu dictamen no abordó</w:t>
      </w:r>
    </w:p>
    <w:p>
      <w:pPr>
        <w:spacing w:after="160" w:line="320"/>
      </w:pPr>
      <w:r>
        <w:rPr>
          <w:sz w:val="22"/>
          <w:szCs w:val="22"/>
        </w:rPr>
        <w:t xml:space="preserve">Estos textos estaban publicados con la etiqueta [REVISAR CON ABOGADO]. Por decisión del titular, la etiqueta se retiró de todo el sitio público y la revisión pasó a este documento. Dales el visto bueno o propone ajustes:</w:t>
      </w:r>
    </w:p>
    <w:p>
      <w:pPr>
        <w:pStyle w:val="ListParagraph"/>
        <w:numPr>
          <w:ilvl w:val="0"/>
          <w:numId w:val="2"/>
        </w:numPr>
        <w:spacing w:after="100" w:line="300"/>
      </w:pPr>
      <w:r>
        <w:rPr>
          <w:sz w:val="22"/>
          <w:szCs w:val="22"/>
        </w:rPr>
        <w:t xml:space="preserve">Renders e imágenes referenciales: “Las imágenes, renders, videos y recorridos 360° ilustran el proyecto. Los planos, áreas, acabados y descripciones deben contrastarse con la información y documentación entregadas antes de contratar. El carácter ilustrativo de una imagen no elimina los derechos del consumidor ni permite desconocer información comercial vinculante.”</w:t>
      </w:r>
    </w:p>
    <w:p>
      <w:pPr>
        <w:pStyle w:val="ListParagraph"/>
        <w:numPr>
          <w:ilvl w:val="0"/>
          <w:numId w:val="2"/>
        </w:numPr>
        <w:spacing w:after="100" w:line="300"/>
      </w:pPr>
      <w:r>
        <w:rPr>
          <w:sz w:val="22"/>
          <w:szCs w:val="22"/>
        </w:rPr>
        <w:t xml:space="preserve">Mobiliario de ambientación: “Las imágenes pueden mostrar mobiliario o equipamiento de ambientación. Su inclusión y cualquier diferencia respecto de la entrega se informan antes de contratar y quedan reflejadas en la documentación aplicable.”</w:t>
      </w:r>
    </w:p>
    <w:p>
      <w:pPr>
        <w:pStyle w:val="ListParagraph"/>
        <w:numPr>
          <w:ilvl w:val="0"/>
          <w:numId w:val="2"/>
        </w:numPr>
        <w:spacing w:after="100" w:line="300"/>
      </w:pPr>
      <w:r>
        <w:rPr>
          <w:sz w:val="22"/>
          <w:szCs w:val="22"/>
        </w:rPr>
        <w:t xml:space="preserve">Propiedad intelectual: “Los contenidos del sitio pueden estar sujetos a derechos del titular o de terceros. Su reproducción debe respetar las autorizaciones, licencias y usos permitidos por la normativa aplicable. La titularidad y las licencias de textos, logotipos, renders, videos y código se rigen por sus respectivos titulares; no se declara propiedad exclusiva sobre recursos de terceros.”</w:t>
      </w:r>
    </w:p>
    <w:p>
      <w:pPr>
        <w:pStyle w:val="ListParagraph"/>
        <w:numPr>
          <w:ilvl w:val="0"/>
          <w:numId w:val="2"/>
        </w:numPr>
        <w:spacing w:after="100" w:line="300"/>
      </w:pPr>
      <w:r>
        <w:rPr>
          <w:sz w:val="22"/>
          <w:szCs w:val="22"/>
        </w:rPr>
        <w:t xml:space="preserve">Jurisdicción: “Se toma como marco la legislación peruana. Estos términos no excluyen el acceso a INDECOPI, a la ANPDP ni a los órganos judiciales competentes, ni limitan los derechos irrenunciables del consumidor. La competencia y las condiciones aplicables a una contratación se precisan en los documentos correspondientes.”</w:t>
      </w:r>
    </w:p>
    <w:p>
      <w:pPr>
        <w:spacing w:after="100"/>
      </w:pPr>
    </w:p>
    <w:p>
      <w:pPr>
        <w:pStyle w:val="Heading1"/>
        <w:pageBreakBefore/>
      </w:pPr>
      <w:r>
        <w:t xml:space="preserve">3. Documentos físicos que debes revisar o producir</w:t>
      </w:r>
    </w:p>
    <w:p>
      <w:pPr>
        <w:spacing w:after="140" w:line="300"/>
      </w:pPr>
      <w:r>
        <w:rPr>
          <w:b/>
          <w:bCs/>
          <w:sz w:val="22"/>
          <w:szCs w:val="22"/>
        </w:rPr>
        <w:t xml:space="preserve">3.1 Plantilla de la Constancia de Separación. </w:t>
      </w:r>
      <w:r>
        <w:rPr>
          <w:sz w:val="22"/>
          <w:szCs w:val="22"/>
        </w:rPr>
        <w:t xml:space="preserve">El área de ventas confirmó que existe. Todo el esquema de devolución del sitio descansa en que esa Constancia contenga, por escrito y antes del pago: (i) el plazo de congelamiento en días; (ii) la regla de devolución exacta —según ventas: “se da 500 soles, y si se dio un monto mayor es proporcional la devolución”—; (iii) cuántas cuotas vencidas configuran el incumplimiento reiterado; y (iv) la imputación del abono a la cuota inicial. </w:t>
      </w:r>
    </w:p>
    <w:p>
      <w:pPr>
        <w:spacing w:after="140" w:line="300"/>
      </w:pPr>
      <w:r>
        <w:rPr>
          <w:sz w:val="22"/>
          <w:szCs w:val="22"/>
        </w:rPr>
        <w:t xml:space="preserve">Pendiente del titular: hacerte llegar la plantilla actual. </w:t>
      </w:r>
      <w:r>
        <w:rPr>
          <w:b/>
          <w:bCs/>
          <w:sz w:val="22"/>
          <w:szCs w:val="22"/>
        </w:rPr>
        <w:t xml:space="preserve">Solicitud: redactar o ajustar el texto de la Constancia</w:t>
      </w:r>
      <w:r>
        <w:rPr>
          <w:sz w:val="22"/>
          <w:szCs w:val="22"/>
        </w:rPr>
        <w:t xml:space="preserve"> para que cubra esos cuatro puntos.</w:t>
      </w:r>
    </w:p>
    <w:p>
      <w:pPr>
        <w:spacing w:after="140" w:line="300"/>
      </w:pPr>
      <w:r>
        <w:rPr>
          <w:b/>
          <w:bCs/>
          <w:sz w:val="22"/>
          <w:szCs w:val="22"/>
        </w:rPr>
        <w:t xml:space="preserve">3.2 Plantilla del Contrato de Arras. </w:t>
      </w:r>
      <w:r>
        <w:rPr>
          <w:sz w:val="22"/>
          <w:szCs w:val="22"/>
        </w:rPr>
        <w:t xml:space="preserve">Ventas indicó que el 10% se suscribe con un contrato de arras. Pendiente del titular: hacerte llegar la plantilla. Solicitud: revisar el nombre del instrumento, sus efectos (penitenciales o confirmatorias) y las causales de resolución posteriores.</w:t>
      </w:r>
    </w:p>
    <w:p>
      <w:pPr>
        <w:pStyle w:val="Heading1"/>
        <w:pageBreakBefore/>
      </w:pPr>
      <w:r>
        <w:t xml:space="preserve">4. Puntos de tu dictamen aún abiertos</w:t>
      </w:r>
    </w:p>
    <w:p>
      <w:pPr>
        <w:pStyle w:val="ListParagraph"/>
        <w:numPr>
          <w:ilvl w:val="0"/>
          <w:numId w:val="2"/>
        </w:numPr>
        <w:spacing w:after="100" w:line="300"/>
      </w:pPr>
      <w:r>
        <w:rPr>
          <w:sz w:val="22"/>
          <w:szCs w:val="22"/>
        </w:rPr>
        <w:t xml:space="preserve">Banco QUEJAS Y RECLAMOS (tu punto 1): en trámite de inscripción ante el SIPDP por el titular, declarando flujo transfronterizo a Google LLC y Resend Inc. (EE. UU.). Al llegar la constancia se insertará el código en la política.</w:t>
      </w:r>
    </w:p>
    <w:p>
      <w:pPr>
        <w:pStyle w:val="ListParagraph"/>
        <w:numPr>
          <w:ilvl w:val="0"/>
          <w:numId w:val="2"/>
        </w:numPr>
        <w:spacing w:after="100" w:line="300"/>
      </w:pPr>
      <w:r>
        <w:rPr>
          <w:sz w:val="22"/>
          <w:szCs w:val="22"/>
        </w:rPr>
        <w:t xml:space="preserve">Donweb (tu punto 5): pendiente confirmar con el proveedor la ubicación física del centro de datos (¿Argentina o EE. UU.?) y archivar el contrato del VPS. De estar en EE. UU., evaluar una nueva modificación registral declarando a Dattatec.com SRL.</w:t>
      </w:r>
    </w:p>
    <w:p>
      <w:pPr>
        <w:pStyle w:val="ListParagraph"/>
        <w:numPr>
          <w:ilvl w:val="0"/>
          <w:numId w:val="2"/>
        </w:numPr>
        <w:spacing w:after="100" w:line="300"/>
      </w:pPr>
      <w:r>
        <w:rPr>
          <w:sz w:val="22"/>
          <w:szCs w:val="22"/>
        </w:rPr>
        <w:t xml:space="preserve">Art. 77 de la Ley N° 29571 (tu punto 8D): el bloque sigue omitido del sitio hasta contar con Partida Electrónica SUNARP del predio, N° de licencia municipal y fecha contractual de entrega. El texto que redactaste queda listo para publicarse cuando existan los datos.</w:t>
      </w:r>
    </w:p>
    <w:p>
      <w:pPr>
        <w:pStyle w:val="ListParagraph"/>
        <w:numPr>
          <w:ilvl w:val="0"/>
          <w:numId w:val="2"/>
        </w:numPr>
        <w:spacing w:after="100" w:line="300"/>
      </w:pPr>
      <w:r>
        <w:rPr>
          <w:sz w:val="22"/>
          <w:szCs w:val="22"/>
        </w:rPr>
        <w:t xml:space="preserve">Garantías de transferencia: la política afirma que “se han suscrito con cada proveedor los respectivos Acuerdos de Encargo de Tratamiento (DPA) y Cláusulas Contractuales Tipo” con estándares ISO/IEC 27001 y SOC 2. Los DPA estándar de Google, Cloudflare, Resend y Meta están archivados en docs/dpa/ (se aceptan contractualmente al usar cada servicio). Confirmar si ese criterio te satisface como “suscritos” o requieres DPA negociados.</w:t>
      </w:r>
    </w:p>
    <w:p>
      <w:pPr>
        <w:pStyle w:val="ListParagraph"/>
        <w:numPr>
          <w:ilvl w:val="0"/>
          <w:numId w:val="2"/>
        </w:numPr>
        <w:spacing w:after="100" w:line="300"/>
      </w:pPr>
      <w:r>
        <w:rPr>
          <w:sz w:val="22"/>
          <w:szCs w:val="22"/>
        </w:rPr>
        <w:t xml:space="preserve">GA4: la política publica 14 meses de conservación analítica; el titular debe configurar esa retención en el administrador de la propiedad (pendiente). Se te informa para el expediente.</w:t>
      </w:r>
    </w:p>
    <w:p>
      <w:pPr>
        <w:spacing w:after="100"/>
      </w:pPr>
    </w:p>
    <w:p>
      <w:pPr>
        <w:pStyle w:val="Heading1"/>
        <w:pageBreakBefore/>
      </w:pPr>
      <w:r>
        <w:t xml:space="preserve">5. Cómo verificar la implementación en el sitio</w:t>
      </w:r>
    </w:p>
    <w:p>
      <w:pPr>
        <w:spacing w:after="160" w:line="320"/>
      </w:pPr>
      <w:r>
        <w:rPr>
          <w:sz w:val="22"/>
          <w:szCs w:val="22"/>
        </w:rPr>
        <w:t xml:space="preserve">Las tres páginas legales públicas, sin marcadores de revisión desde el 18/10/2026:</w:t>
      </w:r>
    </w:p>
    <w:p>
      <w:pPr>
        <w:pStyle w:val="ListParagraph"/>
        <w:numPr>
          <w:ilvl w:val="0"/>
          <w:numId w:val="2"/>
        </w:numPr>
        <w:spacing w:after="100"/>
      </w:pPr>
      <w:r>
        <w:rPr>
          <w:sz w:val="22"/>
          <w:szCs w:val="22"/>
        </w:rPr>
        <w:t xml:space="preserve">inmobiliariaholdingreynaga.com/terminos-y-condiciones (precios con IGV, separación, devolución, bonos, libro físico)</w:t>
      </w:r>
    </w:p>
    <w:p>
      <w:pPr>
        <w:pStyle w:val="ListParagraph"/>
        <w:numPr>
          <w:ilvl w:val="0"/>
          <w:numId w:val="2"/>
        </w:numPr>
        <w:spacing w:after="100"/>
      </w:pPr>
      <w:r>
        <w:rPr>
          <w:sz w:val="22"/>
          <w:szCs w:val="22"/>
        </w:rPr>
        <w:t xml:space="preserve">inmobiliariaholdingreynaga.com/politica-de-privacidad (v2026-10-18.1: bases jurídicas, plazos de conservación, garantías de transferencia, ARCO 8/20/10, inventario de cookies, menores)</w:t>
      </w:r>
    </w:p>
    <w:p>
      <w:pPr>
        <w:pStyle w:val="ListParagraph"/>
        <w:numPr>
          <w:ilvl w:val="0"/>
          <w:numId w:val="2"/>
        </w:numPr>
        <w:spacing w:after="100"/>
      </w:pPr>
      <w:r>
        <w:rPr>
          <w:sz w:val="22"/>
          <w:szCs w:val="22"/>
        </w:rPr>
        <w:t xml:space="preserve">inmobiliariaholdingreynaga.com/libro-de-reclamaciones</w:t>
      </w:r>
    </w:p>
    <w:p>
      <w:pPr>
        <w:spacing w:after="160" w:line="320"/>
      </w:pPr>
      <w:r>
        <w:rPr>
          <w:sz w:val="22"/>
          <w:szCs w:val="22"/>
        </w:rPr>
        <w:t xml:space="preserve">Documentos internos adjuntos a este paquete: Dossier-Legal-Abogado-v2.docx (contexto completo del sistema), pendientes-legales.md (checklist vivo), constancias RNPDP (INS-2026-6247 y MOD-2026-2174) y carpeta docs/dpa/ con los DPA.</w:t>
      </w:r>
    </w:p>
    <w:p>
      <w:pPr>
        <w:spacing w:after="100"/>
      </w:pPr>
    </w:p>
    <w:p>
      <w:pPr>
        <w:pStyle w:val="Heading1"/>
        <w:pageBreakBefore/>
      </w:pPr>
      <w:r>
        <w:t xml:space="preserve">6. Tabla de conformidades (responde punto por punto)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100"/>
          <w:bottom w:type="dxa" w:w="50"/>
          <w:right w:type="dxa" w:w="100"/>
        </w:tblCellMar>
      </w:tblPr>
      <w:tblGrid>
        <w:gridCol w:w="6226"/>
        <w:gridCol w:w="2800"/>
      </w:tblGrid>
      <w:tr>
        <w:trPr>
          <w:tblHeader/>
        </w:trPr>
        <w:tc>
          <w:tcPr>
            <w:tcW w:type="dxa" w:w="6226"/>
            <w:tcBorders>
              <w:top w:val="single" w:color="BBBBBB" w:sz="4"/>
              <w:left w:val="single" w:color="BBBBBB" w:sz="4"/>
              <w:bottom w:val="single" w:color="BBBBBB" w:sz="4"/>
              <w:right w:val="single" w:color="BBBBBB" w:sz="4"/>
            </w:tcBorders>
            <w:shd w:fill="0A1931" w:val="clear"/>
          </w:tcPr>
          <w:p>
            <w:pPr>
              <w:spacing w:after="20" w:line="270"/>
            </w:pPr>
            <w:r>
              <w:rPr>
                <w:b/>
                <w:bCs/>
                <w:color w:val="FFFFFF"/>
                <w:sz w:val="19"/>
                <w:szCs w:val="19"/>
              </w:rPr>
              <w:t xml:space="preserve">Punto</w:t>
            </w:r>
          </w:p>
        </w:tc>
        <w:tc>
          <w:tcPr>
            <w:tcW w:type="dxa" w:w="2800"/>
            <w:tcBorders>
              <w:top w:val="single" w:color="BBBBBB" w:sz="4"/>
              <w:left w:val="single" w:color="BBBBBB" w:sz="4"/>
              <w:bottom w:val="single" w:color="BBBBBB" w:sz="4"/>
              <w:right w:val="single" w:color="BBBBBB" w:sz="4"/>
            </w:tcBorders>
            <w:shd w:fill="0A1931" w:val="clear"/>
          </w:tcPr>
          <w:p>
            <w:pPr>
              <w:spacing w:after="20" w:line="270"/>
            </w:pPr>
            <w:r>
              <w:rPr>
                <w:b/>
                <w:bCs/>
                <w:color w:val="FFFFFF"/>
                <w:sz w:val="19"/>
                <w:szCs w:val="19"/>
              </w:rPr>
              <w:t xml:space="preserve">Conforme / Observación</w:t>
            </w:r>
          </w:p>
        </w:tc>
      </w:tr>
      <w:tr>
        <w:tc>
          <w:tcPr>
            <w:tcW w:type="dxa" w:w="6226"/>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1.1 Devolución: remisión a la Constancia sin regla bancaria</w:t>
            </w:r>
          </w:p>
        </w:tc>
        <w:tc>
          <w:tcPr>
            <w:tcW w:type="dxa" w:w="2800"/>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1.2 Bonos: términos propios de cada campaña</w:t>
            </w:r>
          </w:p>
        </w:tc>
        <w:tc>
          <w:tcPr>
            <w:tcW w:type="dxa" w:w="2800"/>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1.3 Contrato de Arras: nombre y fórmula publicados</w:t>
            </w:r>
          </w:p>
        </w:tc>
        <w:tc>
          <w:tcPr>
            <w:tcW w:type="dxa" w:w="2800"/>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1.4 Entrega: rango octubre–diciembre 2027</w:t>
            </w:r>
          </w:p>
        </w:tc>
        <w:tc>
          <w:tcPr>
            <w:tcW w:type="dxa" w:w="2800"/>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1.5 Estacionamiento aparte y al contado</w:t>
            </w:r>
          </w:p>
        </w:tc>
        <w:tc>
          <w:tcPr>
            <w:tcW w:type="dxa" w:w="2800"/>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2.1 Renders e imágenes referenciales</w:t>
            </w:r>
          </w:p>
        </w:tc>
        <w:tc>
          <w:tcPr>
            <w:tcW w:type="dxa" w:w="2800"/>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2.2 Mobiliario de ambientación</w:t>
            </w:r>
          </w:p>
        </w:tc>
        <w:tc>
          <w:tcPr>
            <w:tcW w:type="dxa" w:w="2800"/>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2.3 Propiedad intelectual</w:t>
            </w:r>
          </w:p>
        </w:tc>
        <w:tc>
          <w:tcPr>
            <w:tcW w:type="dxa" w:w="2800"/>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2.4 Jurisdicción</w:t>
            </w:r>
          </w:p>
        </w:tc>
        <w:tc>
          <w:tcPr>
            <w:tcW w:type="dxa" w:w="2800"/>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3.1 Constancia de Separación (plantilla pendiente)</w:t>
            </w:r>
          </w:p>
        </w:tc>
        <w:tc>
          <w:tcPr>
            <w:tcW w:type="dxa" w:w="2800"/>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3.2 Contrato de Arras (plantilla pendiente)</w:t>
            </w:r>
          </w:p>
        </w:tc>
        <w:tc>
          <w:tcPr>
            <w:tcW w:type="dxa" w:w="2800"/>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4.1 Banco QUEJAS Y RECLAMOS (en trámite)</w:t>
            </w:r>
          </w:p>
        </w:tc>
        <w:tc>
          <w:tcPr>
            <w:tcW w:type="dxa" w:w="2800"/>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4.2 Donweb: datacenter y posible nueva declaración</w:t>
            </w:r>
          </w:p>
        </w:tc>
        <w:tc>
          <w:tcPr>
            <w:tcW w:type="dxa" w:w="2800"/>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4.3 Art. 77: datos del proyecto pendientes</w:t>
            </w:r>
          </w:p>
        </w:tc>
        <w:tc>
          <w:tcPr>
            <w:tcW w:type="dxa" w:w="2800"/>
            <w:tcBorders>
              <w:top w:val="single" w:color="BBBBBB" w:sz="4"/>
              <w:left w:val="single" w:color="BBBBBB" w:sz="4"/>
              <w:bottom w:val="single" w:color="BBBBBB" w:sz="4"/>
              <w:right w:val="single" w:color="BBBBBB" w:sz="4"/>
            </w:tcBorders>
            <w:shd w:fill="F5F6F8" w:val="clear"/>
          </w:tcPr>
          <w:p>
            <w:pPr>
              <w:spacing w:after="20" w:line="270"/>
            </w:pPr>
            <w:r>
              <w:rPr>
                <w:b w:val="false"/>
                <w:bCs w:val="false"/>
                <w:color w:val="000000"/>
                <w:sz w:val="19"/>
                <w:szCs w:val="19"/>
              </w:rPr>
              <w:t xml:space="preserve"/>
            </w:r>
          </w:p>
        </w:tc>
      </w:tr>
      <w:tr>
        <w:tc>
          <w:tcPr>
            <w:tcW w:type="dxa" w:w="6226"/>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4.4 DPA estándar como garantía suficiente</w:t>
            </w:r>
          </w:p>
        </w:tc>
        <w:tc>
          <w:tcPr>
            <w:tcW w:type="dxa" w:w="2800"/>
            <w:tcBorders>
              <w:top w:val="single" w:color="BBBBBB" w:sz="4"/>
              <w:left w:val="single" w:color="BBBBBB" w:sz="4"/>
              <w:bottom w:val="single" w:color="BBBBBB" w:sz="4"/>
              <w:right w:val="single" w:color="BBBBBB" w:sz="4"/>
            </w:tcBorders>
          </w:tcPr>
          <w:p>
            <w:pPr>
              <w:spacing w:after="20" w:line="270"/>
            </w:pPr>
            <w:r>
              <w:rPr>
                <w:b w:val="false"/>
                <w:bCs w:val="false"/>
                <w:color w:val="000000"/>
                <w:sz w:val="19"/>
                <w:szCs w:val="19"/>
              </w:rPr>
              <w:t xml:space="preserve"/>
            </w:r>
          </w:p>
        </w:tc>
      </w:tr>
    </w:tbl>
    <w:p>
      <w:pPr>
        <w:spacing w:after="100"/>
      </w:pPr>
    </w:p>
    <w:p>
      <w:pPr>
        <w:spacing w:after="140" w:line="300"/>
      </w:pPr>
      <w:r>
        <w:rPr>
          <w:b/>
          <w:bCs/>
          <w:sz w:val="22"/>
          <w:szCs w:val="22"/>
        </w:rPr>
        <w:t xml:space="preserve">Respuesta esperada: </w:t>
      </w:r>
      <w:r>
        <w:rPr>
          <w:sz w:val="22"/>
          <w:szCs w:val="22"/>
        </w:rPr>
        <w:t xml:space="preserve">puedes marcar Conforme o escribir la observación en la columna derecha, o responder por correo enumerando los puntos. Con tu conformidad en 1.1–2.4, los términos quedan cerrados; los puntos 3.x y 4.x continúan hasta la entrega de plantillas y datos.</w:t>
      </w:r>
    </w:p>
    <w:sectPr>
      <w:footerReference w:type="default" r:id="rId6"/>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Revisión de Términos — Torres Titanium · 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A1931"/>
      <w:sz w:val="40"/>
      <w:szCs w:val="40"/>
    </w:rPr>
  </w:style>
  <w:style w:type="paragraph" w:styleId="Heading1">
    <w:name w:val="Heading 1"/>
    <w:basedOn w:val="Normal"/>
    <w:next w:val="Normal"/>
    <w:qFormat/>
    <w:pPr>
      <w:spacing w:after="160" w:before="220"/>
      <w:outlineLvl w:val="0"/>
    </w:pPr>
    <w:rPr>
      <w:rFonts w:ascii="Arial" w:cs="Arial" w:eastAsia="Arial" w:hAnsi="Arial"/>
      <w:b/>
      <w:bCs/>
      <w:color w:val="0A1931"/>
      <w:sz w:val="27"/>
      <w:szCs w:val="27"/>
    </w:rPr>
  </w:style>
  <w:style w:type="paragraph" w:styleId="Heading2">
    <w:name w:val="Heading 2"/>
    <w:basedOn w:val="Normal"/>
    <w:next w:val="Normal"/>
    <w:qFormat/>
    <w:pPr>
      <w:spacing w:after="100" w:before="180"/>
      <w:outlineLvl w:val="1"/>
    </w:pPr>
    <w:rPr>
      <w:rFonts w:ascii="Arial" w:cs="Arial" w:eastAsia="Arial" w:hAnsi="Arial"/>
      <w:b/>
      <w:bCs/>
      <w:color w:val="8A6D1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2026-10-21T20:50:20.529Z</dcterms:created>
  <dcterms:modified xsi:type="dcterms:W3CDTF">2026-10-21T20:50:20.545Z</dcterms:modified>
</cp:coreProperties>
</file>

<file path=docProps/custom.xml><?xml version="1.0" encoding="utf-8"?>
<Properties xmlns="http://schemas.openxmlformats.org/officeDocument/2006/custom-properties" xmlns:vt="http://schemas.openxmlformats.org/officeDocument/2006/docPropsVTypes"/>
</file>