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b/>
          <w:bCs/>
          <w:color w:val="8A6D1F"/>
          <w:sz w:val="24"/>
          <w:szCs w:val="24"/>
        </w:rPr>
        <w:t xml:space="preserve">HOLDING INVERSIONES REYNAGA S.A.C.</w:t>
      </w:r>
    </w:p>
    <w:p>
      <w:pPr>
        <w:spacing w:after="100" w:before="300"/>
        <w:jc w:val="center"/>
      </w:pPr>
      <w:r>
        <w:rPr>
          <w:b/>
          <w:bCs/>
          <w:color w:val="0A1931"/>
          <w:sz w:val="48"/>
          <w:szCs w:val="48"/>
        </w:rPr>
        <w:t xml:space="preserve">Dossier Legal</w:t>
      </w:r>
    </w:p>
    <w:p>
      <w:pPr>
        <w:spacing w:after="300"/>
        <w:jc w:val="center"/>
      </w:pPr>
      <w:r>
        <w:rPr>
          <w:color w:val="0A1931"/>
          <w:sz w:val="28"/>
          <w:szCs w:val="28"/>
        </w:rPr>
        <w:t xml:space="preserve">del Sitio Web Torres Titanium</w:t>
      </w:r>
    </w:p>
    <w:p>
      <w:pPr>
        <w:jc w:val="center"/>
      </w:pPr>
      <w:r>
        <w:rPr>
          <w:color w:val="666666"/>
          <w:sz w:val="23"/>
          <w:szCs w:val="23"/>
        </w:rPr>
        <w:t xml:space="preserve">inmobiliariaholdingreynaga.com</w:t>
      </w:r>
    </w:p>
    <w:p>
      <w:pPr>
        <w:spacing w:after="100" w:before="400"/>
        <w:jc w:val="center"/>
      </w:pPr>
      <w:r>
        <w:rPr>
          <w:color w:val="666666"/>
          <w:sz w:val="21"/>
          <w:szCs w:val="21"/>
        </w:rPr>
        <w:t xml:space="preserve">Análisis de cumplimiento: Ley N° 29733 (Protección de Datos Personales)</w:t>
      </w:r>
    </w:p>
    <w:p>
      <w:pPr>
        <w:jc w:val="center"/>
      </w:pPr>
      <w:r>
        <w:rPr>
          <w:color w:val="666666"/>
          <w:sz w:val="21"/>
          <w:szCs w:val="21"/>
        </w:rPr>
        <w:t xml:space="preserve">Ley N° 29571 (Protección y Defensa del Consumidor) y normativa conexas</w:t>
      </w:r>
    </w:p>
    <w:p>
      <w:pPr>
        <w:spacing w:after="100" w:before="2200"/>
        <w:jc w:val="center"/>
      </w:pPr>
      <w:r>
        <w:rPr>
          <w:color w:val="666666"/>
          <w:sz w:val="21"/>
          <w:szCs w:val="21"/>
        </w:rPr>
        <w:t xml:space="preserve">Preparado para revisión de asesoría legal</w:t>
      </w:r>
    </w:p>
    <w:p>
      <w:pPr>
        <w:jc w:val="center"/>
      </w:pPr>
      <w:r>
        <w:rPr>
          <w:color w:val="666666"/>
          <w:sz w:val="21"/>
          <w:szCs w:val="21"/>
        </w:rPr>
        <w:t xml:space="preserve">Versión 1.0 — 17 de octubre de 2026</w:t>
      </w:r>
    </w:p>
    <w:p>
      <w:pPr>
        <w:spacing w:before="400"/>
        <w:jc w:val="center"/>
      </w:pPr>
      <w:r>
        <w:rPr>
          <w:i/>
          <w:iCs/>
          <w:color w:val="8A6D1F"/>
          <w:sz w:val="19"/>
          <w:szCs w:val="19"/>
        </w:rPr>
        <w:t xml:space="preserve">CONFIDENCIAL — Contiene datos personales del representante legal</w:t>
      </w:r>
    </w:p>
    <w:p>
      <w:pPr>
        <w:pStyle w:val="Heading1"/>
        <w:pageBreakBefore/>
        <w:jc w:val="center"/>
      </w:pPr>
      <w:bookmarkStart w:name="_Toc1" w:id="1"/>
      <w:r>
        <w:t xml:space="preserve">Contenido</w:t>
      </w:r>
      <w:bookmarkEnd w:id="1"/>
    </w:p>
    <w:sdt>
      <w:sdtPr>
        <w:alias w:val="Índice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Contenido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">
            <w:r>
              <w:t xml:space="preserve">1. Identificación del titular del banco de datos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">
            <w:r>
              <w:t xml:space="preserve">2. Inscripción en el Registro Nacional de Protección de Datos Personales (RNPDP)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4">
            <w:r>
              <w:t xml:space="preserve">2.1 Inscripción original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5">
            <w:r>
              <w:t xml:space="preserve">2.2 Modificación registrada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6">
            <w:r>
              <w:t xml:space="preserve">2.3 Finalidad inscrita (texto de la constancia)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7">
            <w:r>
              <w:t xml:space="preserve">2.4 Observación para revisión legal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8">
            <w:r>
              <w:t xml:space="preserve">3. Inventario de datos personales tratados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9">
            <w:r>
              <w:t xml:space="preserve">3.1 Formulario de cotización / contacto (portada del sitio)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0">
            <w:r>
              <w:t xml:space="preserve">3.2 Formulario de reserva (botón de WhatsApp)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1">
            <w:r>
              <w:t xml:space="preserve">3.3 Libro de Reclamaciones virtual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2">
            <w:r>
              <w:t xml:space="preserve">3.4 Evidencia de consentimiento (almacenada por cada envío)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3">
            <w:r>
              <w:t xml:space="preserve">3.5 Destinatarios internos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4">
            <w:r>
              <w:t xml:space="preserve">4. Finalidades y bases del tratamiento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5">
            <w:r>
              <w:t xml:space="preserve">5. Implementación del consentimiento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6">
            <w:r>
              <w:t xml:space="preserve">5.1 Formularios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7">
            <w:r>
              <w:t xml:space="preserve">5.2 Cookies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18">
            <w:r>
              <w:t xml:space="preserve">5.3 Versionado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19">
            <w:r>
              <w:t xml:space="preserve">6. Libro de Reclamaciones virtual (Ley N° 29571)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0">
            <w:r>
              <w:t xml:space="preserve">7. Derechos ARCO — estado de implementación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1">
            <w:r>
              <w:t xml:space="preserve">8. Conservación de datos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2">
            <w:r>
              <w:t xml:space="preserve">9. Transferencias internacionales de datos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3">
            <w:r>
              <w:t xml:space="preserve">9.1 Declaración registral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4">
            <w:r>
              <w:t xml:space="preserve">9.2 Correspondencia con los servicios reales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5">
            <w:r>
              <w:t xml:space="preserve">9.3 Servicios observados no incluidos en la declaración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6">
            <w:r>
              <w:t xml:space="preserve">9.4 Residencia del almacenamiento principal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7">
            <w:r>
              <w:t xml:space="preserve">10. Seguridad técnica implementada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28">
            <w:r>
              <w:t xml:space="preserve">11. Contenido comercial y protección al consumidor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9">
            <w:r>
              <w:t xml:space="preserve">11.1 Términos de la separación (confirmados por la jefa de ventas)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30">
            <w:r>
              <w:t xml:space="preserve">11.2 Puntos de etiquetado a revisar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1">
            <w:r>
              <w:t xml:space="preserve">12. Puntos pendientes de revisión legal (consolidado)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2">
            <w:r>
              <w:t xml:space="preserve">13. Documentación de referencia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3">
            <w:r>
              <w:t xml:space="preserve">14. Información pendiente de proporcionar por el titular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666666"/>
          <w:sz w:val="19"/>
          <w:szCs w:val="19"/>
        </w:rPr>
        <w:t xml:space="preserve">Nota: al abrir por primera vez, haga clic derecho sobre este índice y elija “Actualizar campos” para generar los números de página. Este dossier describe el estado real del sistema informático al 17/10/2026; los puntos pendientes están identificados con la etiqueta PENDIENTE ABOGADO.</w:t>
      </w:r>
    </w:p>
    <w:p>
      <w:pPr>
        <w:pStyle w:val="Heading1"/>
        <w:pageBreakBefore/>
      </w:pPr>
      <w:bookmarkStart w:name="_Toc2" w:id="2"/>
      <w:r>
        <w:t xml:space="preserve">1. Identificación del titular del banco de datos</w:t>
      </w:r>
      <w:bookmarkEnd w:id="2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Razón social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HOLDING INVERSIONES REYNAGA S.A.C.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RUC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20614870959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Domicilio fiscal (SUNAT)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Jr. Lino Nro. 132, Oficina 401, Huancayo Cercado, Huancayo, Junín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Establecimiento / oficina de ventas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Av. San Agustín 154, San Carlos, Huancayo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Horario de atención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Lunes a sábado, 8:30–13:30 y 15:00–18:30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Teléfono / WhatsApp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+51 981 407 634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Correo ventas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holdingreynagaventas@gmail.com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Correo canales ARCO publicados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holdingreynagaredes@gmail.com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Representante legal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Reynaga Soto, Jhon Arquimides — DNI 20051593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Vigencia de poder</w:t>
            </w:r>
          </w:p>
        </w:tc>
        <w:tc>
          <w:tcPr>
            <w:tcW w:type="dxa" w:w="5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Vigente. Acreditada ante el SIPDP al crear la cuenta</w:t>
            </w:r>
          </w:p>
        </w:tc>
      </w:tr>
    </w:tbl>
    <w:p>
      <w:pPr>
        <w:spacing w:after="100"/>
      </w:pPr>
    </w:p>
    <w:p>
      <w:pPr>
        <w:spacing w:after="160" w:line="320"/>
      </w:pPr>
      <w:r>
        <w:rPr>
          <w:sz w:val="22"/>
          <w:szCs w:val="22"/>
        </w:rPr>
        <w:t xml:space="preserve">Dominio del sitio: inmobiliariaholdingreynaga.com. Alojamiento: servidor virtual (VPS) contratado a Donweb Perú (IP 149.50.146.126, Ubuntu 24.04). El proyecto comercializado: edificio residencial Torres Titanium, 59 departamentos en construcción en San Carlos, Huancayo, con entrega prevista para 2027.</w:t>
      </w:r>
    </w:p>
    <w:p>
      <w:pPr>
        <w:pStyle w:val="Heading1"/>
        <w:pageBreakBefore/>
      </w:pPr>
      <w:bookmarkStart w:name="_Toc3" w:id="3"/>
      <w:r>
        <w:t xml:space="preserve">2. Inscripción en el Registro Nacional de Protección de Datos Personales (RNPDP)</w:t>
      </w:r>
      <w:bookmarkEnd w:id="3"/>
    </w:p>
    <w:p>
      <w:pPr>
        <w:pStyle w:val="Heading2"/>
      </w:pPr>
      <w:bookmarkStart w:name="_Toc4" w:id="4"/>
      <w:r>
        <w:t xml:space="preserve">2.1 Inscripción original</w:t>
      </w:r>
      <w:bookmarkEnd w:id="4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Banco de datos: </w:t>
      </w:r>
      <w:r>
        <w:rPr>
          <w:sz w:val="22"/>
          <w:szCs w:val="22"/>
        </w:rPr>
        <w:t xml:space="preserve">PROSPECTO DE CLIENTES (denominación original, luego modificada).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Código de inscripción: </w:t>
      </w:r>
      <w:r>
        <w:rPr>
          <w:sz w:val="22"/>
          <w:szCs w:val="22"/>
        </w:rPr>
        <w:t xml:space="preserve">INS-2026-6247 · Código del titular: PJ-2026-5515 · Fecha: 16/10/2026.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Constancia: </w:t>
      </w:r>
      <w:r>
        <w:rPr>
          <w:sz w:val="22"/>
          <w:szCs w:val="22"/>
        </w:rPr>
        <w:t xml:space="preserve">con código QR de verificación; archivada digitalmente en docs/constanciaInscripSIPDPHolding.pdf (carpeta privada, no publicada en la web).</w:t>
      </w:r>
    </w:p>
    <w:p>
      <w:pPr>
        <w:pStyle w:val="Heading2"/>
      </w:pPr>
      <w:bookmarkStart w:name="_Toc5" w:id="5"/>
      <w:r>
        <w:t xml:space="preserve">2.2 Modificación registrada</w:t>
      </w:r>
      <w:bookmarkEnd w:id="5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Código: </w:t>
      </w:r>
      <w:r>
        <w:rPr>
          <w:sz w:val="22"/>
          <w:szCs w:val="22"/>
        </w:rPr>
        <w:t xml:space="preserve">MOD-2026-2174 · Fecha: 17/10/2026.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Denominación actualizada: </w:t>
      </w:r>
      <w:r>
        <w:rPr>
          <w:sz w:val="22"/>
          <w:szCs w:val="22"/>
        </w:rPr>
        <w:t xml:space="preserve">PROSPECTO DE CLIENTES - TORRES TITANIUM.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Transferencias internacionales: </w:t>
      </w:r>
      <w:r>
        <w:rPr>
          <w:sz w:val="22"/>
          <w:szCs w:val="22"/>
        </w:rPr>
        <w:t xml:space="preserve">declaradas SÍ, hacia Estados Unidos, con los siguientes receptores: Google LLC; Meta Platforms, Inc.; Resend Inc.; Cloudflare, Inc.</w:t>
      </w:r>
    </w:p>
    <w:p>
      <w:pPr>
        <w:pStyle w:val="Heading2"/>
      </w:pPr>
      <w:bookmarkStart w:name="_Toc6" w:id="6"/>
      <w:r>
        <w:t xml:space="preserve">2.3 Finalidad inscrita (texto de la constancia)</w:t>
      </w:r>
      <w:bookmarkEnd w:id="6"/>
    </w:p>
    <w:p>
      <w:pPr>
        <w:spacing w:after="160" w:line="320"/>
      </w:pPr>
      <w:r>
        <w:rPr>
          <w:sz w:val="22"/>
          <w:szCs w:val="22"/>
        </w:rPr>
        <w:t xml:space="preserve">“Recopilar y tratar los datos personales de los prospectos e interesados para atender consultas comerciales, brindar información, enviar cotizaciones, promociones, programación de citas y realizar el seguimiento de ventas de los departamentos del proyecto inmobiliario Torres Titanium de HOLDING INVERSIONES REYNAGA S.A.C. mediante llamadas telefónicas, correo electrónico y WhatsApp.”</w:t>
      </w:r>
    </w:p>
    <w:p>
      <w:pPr>
        <w:pStyle w:val="Heading2"/>
      </w:pPr>
      <w:bookmarkStart w:name="_Toc7" w:id="7"/>
      <w:r>
        <w:t xml:space="preserve">2.4 Observación para revisión legal</w:t>
      </w:r>
      <w:bookmarkEnd w:id="7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7E0" w:val="clear"/>
          </w:tcPr>
          <w:p>
            <w:pPr>
              <w:spacing w:after="0"/>
            </w:pPr>
            <w:r>
              <w:rPr>
                <w:b/>
                <w:bCs/>
                <w:color w:val="8A6D1F"/>
                <w:sz w:val="20"/>
                <w:szCs w:val="20"/>
              </w:rPr>
              <w:t xml:space="preserve">PENDIENTE ABOGADO: </w:t>
            </w:r>
            <w:r>
              <w:rPr>
                <w:sz w:val="20"/>
                <w:szCs w:val="20"/>
              </w:rPr>
              <w:t xml:space="preserve">El Libro de Reclamaciones virtual y su sincronización con Google Sheets operan como registros adicionales. Debe evaluarse si requieren inscripción como banco separado en el RNPDP o si quedan comprendidos en el actual.</w:t>
            </w:r>
          </w:p>
        </w:tc>
      </w:tr>
    </w:tbl>
    <w:p>
      <w:pPr>
        <w:pStyle w:val="Heading1"/>
        <w:pageBreakBefore/>
      </w:pPr>
      <w:bookmarkStart w:name="_Toc8" w:id="8"/>
      <w:r>
        <w:t xml:space="preserve">3. Inventario de datos personales tratados</w:t>
      </w:r>
      <w:bookmarkEnd w:id="8"/>
    </w:p>
    <w:p>
      <w:pPr>
        <w:pStyle w:val="Heading2"/>
      </w:pPr>
      <w:bookmarkStart w:name="_Toc9" w:id="9"/>
      <w:r>
        <w:t xml:space="preserve">3.1 Formulario de cotización / contacto (portada del sitio)</w:t>
      </w:r>
      <w:bookmarkEnd w:id="9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Campos: nombre, teléfono, correo, interés (1, 2 o 3 dormitorios, o inversión) y mensaje libre (máx. 300 caracteres).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No se solicita DNI</w:t>
      </w:r>
      <w:r>
        <w:rPr>
          <w:sz w:val="22"/>
          <w:szCs w:val="22"/>
        </w:rPr>
        <w:t xml:space="preserve"> en este formulario (minimización aplicada; el sistema además descarta cualquier documento si llegara por esta vía).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Datos técnicos registrados: dirección IP, agente de navegador, fecha y hora UTC.</w:t>
      </w:r>
    </w:p>
    <w:p>
      <w:pPr>
        <w:pStyle w:val="Heading2"/>
      </w:pPr>
      <w:bookmarkStart w:name="_Toc10" w:id="10"/>
      <w:r>
        <w:t xml:space="preserve">3.2 Formulario de reserva (botón de WhatsApp)</w:t>
      </w:r>
      <w:bookmarkEnd w:id="10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Campos: nombre, DNI/CE (8–12 caracteres; justificado en pantalla para gestionar la separación de S/ 1,000), teléfono, correo, interés y mensaje.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La web informa expresamente que el envío no cobra el monto, no firma la Constancia de Separación y que la formalización es presencial.</w:t>
      </w:r>
    </w:p>
    <w:p>
      <w:pPr>
        <w:pStyle w:val="Heading2"/>
      </w:pPr>
      <w:bookmarkStart w:name="_Toc11" w:id="11"/>
      <w:r>
        <w:t xml:space="preserve">3.3 Libro de Reclamaciones virtual</w:t>
      </w:r>
      <w:bookmarkEnd w:id="11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Campos: nombre, documento, domicilio, teléfono, correo, representante (opcional), tipo (reclamo o queja), bien contratado, monto reclamado, detalle, pedido.</w:t>
      </w:r>
    </w:p>
    <w:p>
      <w:pPr>
        <w:pStyle w:val="Heading2"/>
      </w:pPr>
      <w:bookmarkStart w:name="_Toc12" w:id="12"/>
      <w:r>
        <w:t xml:space="preserve">3.4 Evidencia de consentimiento (almacenada por cada envío)</w:t>
      </w:r>
      <w:bookmarkEnd w:id="12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Texto exacto de las casillas aceptadas, fecha y hora de recepción, versión de la política de privacidad vigente (actual: 2026-10-17.1) y propósito declarado (cotización, reserva o reclamo).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Registro de aceptación y revocación de promociones con sello de tiempo (campo marketing_revoked_at).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Notas internas del equipo sobre cada lead (no visibles para el cliente).</w:t>
      </w:r>
    </w:p>
    <w:p>
      <w:pPr>
        <w:pStyle w:val="Heading2"/>
      </w:pPr>
      <w:bookmarkStart w:name="_Toc13" w:id="13"/>
      <w:r>
        <w:t xml:space="preserve">3.5 Destinatarios internos</w:t>
      </w:r>
      <w:bookmarkEnd w:id="13"/>
    </w:p>
    <w:p>
      <w:pPr>
        <w:spacing w:after="160" w:line="320"/>
      </w:pPr>
      <w:r>
        <w:rPr>
          <w:sz w:val="22"/>
          <w:szCs w:val="22"/>
        </w:rPr>
        <w:t xml:space="preserve">Los registros se almacenan en la base de datos del servidor (SQLite) y se copian automáticamente a una hoja de Google Sheets de respaldo de la empresa, accesible con cuentas Google autorizadas por el titular.</w:t>
      </w:r>
    </w:p>
    <w:p>
      <w:pPr>
        <w:pStyle w:val="Heading1"/>
        <w:pageBreakBefore/>
      </w:pPr>
      <w:bookmarkStart w:name="_Toc14" w:id="14"/>
      <w:r>
        <w:t xml:space="preserve">4. Finalidades y bases del tratamiento</w:t>
      </w:r>
      <w:bookmarkEnd w:id="14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026"/>
        <w:gridCol w:w="2600"/>
        <w:gridCol w:w="3400"/>
      </w:tblGrid>
      <w:tr>
        <w:trPr>
          <w:tblHeader/>
        </w:trP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Finalidad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Consentimiento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Atender consulta, cotización o reserva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Consentimiento del titular (casilla obligatoria del formulario)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Registrado con evidencia en cada envío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Promociones por WhatsApp/llamada/correo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Consentimiento expreso, opt-in, revocable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Casilla opcional sin premarcar; no condiciona el envío; revocación con fecha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Libro de Reclamaciones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Obligación legal (Ley N° 29571)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requiere casilla promocional; la atención no se condiciona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Analítica del sitio (Google Analytics 4)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Consentimiento por categoría de cookies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carga sin aceptar la categoría analítica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Publicidad (Meta Pixel)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Consentimiento por categoría de cookies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carga sin aceptar la categoría marketing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Prevención de abuso y seguridad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Interés legítimo / obligación legal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Captcha, honeypot, trampa temporal y límites de envío por IP y por identidad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bookmarkStart w:name="_Toc15" w:id="15"/>
      <w:r>
        <w:t xml:space="preserve">5. Implementación del consentimiento</w:t>
      </w:r>
      <w:bookmarkEnd w:id="15"/>
    </w:p>
    <w:p>
      <w:pPr>
        <w:pStyle w:val="Heading2"/>
      </w:pPr>
      <w:bookmarkStart w:name="_Toc16" w:id="16"/>
      <w:r>
        <w:t xml:space="preserve">5.1 Formularios</w:t>
      </w:r>
      <w:bookmarkEnd w:id="16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Dos casillas por formulario: una obligatoria (aceptación de Términos y Política de Privacidad para atender la solicitud) y una opcional (promociones), ambas sin premarcar.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El envío NO depende de la casilla opcional; el sistema valida ambas en el servidor.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Los textos de las casillas son canónicos y versionados: cualquier cambio implica nueva versión de la política.</w:t>
      </w:r>
    </w:p>
    <w:p>
      <w:pPr>
        <w:pStyle w:val="Heading2"/>
      </w:pPr>
      <w:bookmarkStart w:name="_Toc17" w:id="17"/>
      <w:r>
        <w:t xml:space="preserve">5.2 Cookies</w:t>
      </w:r>
      <w:bookmarkEnd w:id="17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Banner con tres opciones de igual peso visual: Aceptar todo, Solo necesarias y Personalizar.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Google Analytics 4 y Meta Pixel permanecen bloqueados hasta el consentimiento de su categoría; la preferencia se guarda en el navegador con fecha y versión.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La elección puede modificarse en cualquier momento desde “Preferencias de Cookies” en el pie del sitio.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Pendiente: </w:t>
      </w:r>
      <w:r>
        <w:rPr>
          <w:sz w:val="22"/>
          <w:szCs w:val="22"/>
        </w:rPr>
        <w:t xml:space="preserve">inventario formal de cookies (nombre, duración y propósito de cada una).</w:t>
      </w:r>
    </w:p>
    <w:p>
      <w:pPr>
        <w:pStyle w:val="Heading2"/>
      </w:pPr>
      <w:bookmarkStart w:name="_Toc18" w:id="18"/>
      <w:r>
        <w:t xml:space="preserve">5.3 Versionado</w:t>
      </w:r>
      <w:bookmarkEnd w:id="18"/>
    </w:p>
    <w:p>
      <w:pPr>
        <w:spacing w:after="160" w:line="320"/>
      </w:pPr>
      <w:r>
        <w:rPr>
          <w:sz w:val="22"/>
          <w:szCs w:val="22"/>
        </w:rPr>
        <w:t xml:space="preserve">La política de privacidad pública muestra fecha y versión (actual: 2026-10-17.1). Cada consentimiento queda asociado a la versión vigente en el momento del envío. Las páginas legales del sitio muestran de forma visible los puntos pendientes de revisión con el marcador [[REVISAR CON ABOGADO]] — decisión deliberada de transparencia del borrador público.</w:t>
      </w:r>
    </w:p>
    <w:p>
      <w:pPr>
        <w:pStyle w:val="Heading1"/>
        <w:pageBreakBefore/>
      </w:pPr>
      <w:bookmarkStart w:name="_Toc19" w:id="19"/>
      <w:r>
        <w:t xml:space="preserve">6. Libro de Reclamaciones virtual (Ley N° 29571)</w:t>
      </w:r>
      <w:bookmarkEnd w:id="19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Registro virtual con el formato oficial del Anexo I del D.S. N° 011-2011-PCM (modificado por D.S. N° 101-2022-PCM).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Numeración automática de hojas (código RECL-2026-XXXX); identificación completa del proveedor (razón social, RUC, domicilio fiscal).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Copia de la hoja en PDF enviada al consumidor inmediatamente después de registrar.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Plazo legal: </w:t>
      </w:r>
      <w:r>
        <w:rPr>
          <w:sz w:val="22"/>
          <w:szCs w:val="22"/>
        </w:rPr>
        <w:t xml:space="preserve">15 días hábiles, improrrogables. El sistema calcula el vencimiento excluyendo feriados nacionales (tabla editable; 2026 y 2027 precargados).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Respuesta formal por correo electrónico con la hoja actualizada en PDF adjunto; el sistema guarda el identificador del proveedor de correo como evidencia de envío.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Los borradores de respuesta se guardan únicamente en el servidor propio; no se envía correo alguno hasta que el operador presiona “Enviar respuesta”.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Exportación completa en CSV disponible para fiscalizaciones de INDECOPI.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Aviso oficial (Anexo II) impreso y visible en la sala de ventas; libro físico de respaldo en el mismo local.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El sitio informa que el reclamo no limita el derecho del consumidor de acudir a INDECOPI.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Guía operativa de atención integrada en el panel, basada en la guía oficial de INDECOPI.</w:t>
      </w:r>
    </w:p>
    <w:p>
      <w:pPr>
        <w:pStyle w:val="Heading1"/>
        <w:pageBreakBefore/>
      </w:pPr>
      <w:bookmarkStart w:name="_Toc20" w:id="20"/>
      <w:r>
        <w:t xml:space="preserve">7. Derechos ARCO — estado de implementación</w:t>
      </w:r>
      <w:bookmarkEnd w:id="20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Derecho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 en el sistema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Acceso / Rectificación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Canales publicados en la política (correo y teléfono). Pendiente: designación formal del responsable interno y plazos de respuesta.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Cancelación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OPERATIVO: herramienta en el panel que borra el registro del servidor propio y de la hoja de Google Sheets con re-verificación previa al borrado.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Oposición / Revocación de promociones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OPERATIVO: revocación en un clic con sello de tiempo como evidencia.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Portabilidad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implementado. Evaluar procedencia según la normativa aplicable.</w:t>
            </w:r>
          </w:p>
        </w:tc>
      </w:tr>
    </w:tbl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7E0" w:val="clear"/>
          </w:tcPr>
          <w:p>
            <w:pPr>
              <w:spacing w:after="0"/>
            </w:pPr>
            <w:r>
              <w:rPr>
                <w:b/>
                <w:bCs/>
                <w:color w:val="8A6D1F"/>
                <w:sz w:val="20"/>
                <w:szCs w:val="20"/>
              </w:rPr>
              <w:t xml:space="preserve">PENDIENTE ABOGADO: </w:t>
            </w:r>
            <w:r>
              <w:rPr>
                <w:sz w:val="20"/>
                <w:szCs w:val="20"/>
              </w:rPr>
              <w:t xml:space="preserve">Definir plazos máximos de respuesta por derecho, responsable interno formal y requisitos de verificación de identidad del solicitante.</w:t>
            </w:r>
          </w:p>
        </w:tc>
      </w:tr>
    </w:tbl>
    <w:p>
      <w:pPr>
        <w:pStyle w:val="Heading1"/>
        <w:pageBreakBefore/>
      </w:pPr>
      <w:bookmarkStart w:name="_Toc21" w:id="21"/>
      <w:r>
        <w:t xml:space="preserve">8. Conservación de datos</w:t>
      </w:r>
      <w:bookmarkEnd w:id="21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4026"/>
        <w:gridCol w:w="5000"/>
      </w:tblGrid>
      <w:tr>
        <w:trPr>
          <w:tblHeader/>
        </w:trP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Plazo actual</w:t>
            </w:r>
          </w:p>
        </w:tc>
      </w:tr>
      <w:t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Leads y evidencias de consentimiento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PENDIENTE — 10 finalidades listadas en la política esperan definición de plazo</w:t>
            </w:r>
          </w:p>
        </w:tc>
      </w:tr>
      <w:t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Reclamos y quejas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PENDIENTE (la guía de INDECOPI sugiere conservar las hojas por 2 años)</w:t>
            </w:r>
          </w:p>
        </w:tc>
      </w:tr>
      <w:t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Auditoría de acciones del panel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Indefinida</w:t>
            </w:r>
          </w:p>
        </w:tc>
      </w:tr>
      <w:t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Sesiones del panel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 horas</w:t>
            </w:r>
          </w:p>
        </w:tc>
      </w:tr>
      <w:t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Miniaturas de redes sociales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Hasta su reemplazo por publicaciones más recientes</w:t>
            </w:r>
          </w:p>
        </w:tc>
      </w:tr>
    </w:tbl>
    <w:p>
      <w:pPr>
        <w:spacing w:after="100"/>
      </w:pPr>
    </w:p>
    <w:p>
      <w:pPr>
        <w:spacing w:after="160" w:line="320"/>
      </w:pPr>
      <w:r>
        <w:rPr>
          <w:sz w:val="22"/>
          <w:szCs w:val="22"/>
        </w:rPr>
        <w:t xml:space="preserve">El sistema dispone de herramientas de limpieza (por selección o por antigüedad de 1 mes a 1 año), pero la política de uso de dichas herramientas debe definirse formalmente.</w:t>
      </w:r>
    </w:p>
    <w:p>
      <w:pPr>
        <w:pStyle w:val="Heading1"/>
        <w:pageBreakBefore/>
      </w:pPr>
      <w:bookmarkStart w:name="_Toc22" w:id="22"/>
      <w:r>
        <w:t xml:space="preserve">9. Transferencias internacionales de datos</w:t>
      </w:r>
      <w:bookmarkEnd w:id="22"/>
    </w:p>
    <w:p>
      <w:pPr>
        <w:pStyle w:val="Heading2"/>
      </w:pPr>
      <w:bookmarkStart w:name="_Toc23" w:id="23"/>
      <w:r>
        <w:t xml:space="preserve">9.1 Declaración registral</w:t>
      </w:r>
      <w:bookmarkEnd w:id="23"/>
    </w:p>
    <w:p>
      <w:pPr>
        <w:spacing w:after="160" w:line="320"/>
      </w:pPr>
      <w:r>
        <w:rPr>
          <w:sz w:val="22"/>
          <w:szCs w:val="22"/>
        </w:rPr>
        <w:t xml:space="preserve">La modificación MOD-2026-2174 (17/10/2026) declara la transferencia internacional hacia Estados Unidos con los siguientes receptores: Google LLC, Meta Platforms Inc., Resend Inc. y Cloudflare Inc.</w:t>
      </w:r>
    </w:p>
    <w:p>
      <w:pPr>
        <w:pStyle w:val="Heading2"/>
      </w:pPr>
      <w:bookmarkStart w:name="_Toc24" w:id="24"/>
      <w:r>
        <w:t xml:space="preserve">9.2 Correspondencia con los servicios reales</w:t>
      </w:r>
      <w:bookmarkEnd w:id="24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Receptor declarado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Servicio que presta en el sitio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Google LLC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Google Analytics 4 (analítica, con consentimiento), Google Sheets (respaldo de leads y reclamos), Google Cloud (cuenta de servicio para la sincronización)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Meta Platforms, Inc.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Meta Pixel: eventos de publicidad, solo con consentimiento de la categoría marketing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Resend Inc.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Envío de correos al consumidor (confirmación y respuesta de reclamos con PDF adjunto) y al equipo de ventas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Cloudflare, Inc.</w:t>
            </w:r>
          </w:p>
        </w:tc>
        <w:tc>
          <w:tcPr>
            <w:tcW w:type="dxa" w:w="6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Cloudflare Turnstile: verificación antiautomatización de formularios (token, IP y datos técnicos)</w:t>
            </w:r>
          </w:p>
        </w:tc>
      </w:tr>
    </w:tbl>
    <w:p>
      <w:pPr>
        <w:spacing w:after="100"/>
      </w:pPr>
    </w:p>
    <w:p>
      <w:pPr>
        <w:pStyle w:val="Heading2"/>
      </w:pPr>
      <w:bookmarkStart w:name="_Toc25" w:id="25"/>
      <w:r>
        <w:t xml:space="preserve">9.3 Servicios observados no incluidos en la declaración</w:t>
      </w:r>
      <w:bookmarkEnd w:id="25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OpenStreetMap: </w:t>
      </w:r>
      <w:r>
        <w:rPr>
          <w:sz w:val="22"/>
          <w:szCs w:val="22"/>
        </w:rPr>
        <w:t xml:space="preserve">el mapa del sitio solicita teselas a sus servidores; estos pueden recibir la IP de la petición. No procesa otros datos personales.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WhatsApp (enlaces wa.me): </w:t>
      </w:r>
      <w:r>
        <w:rPr>
          <w:sz w:val="22"/>
          <w:szCs w:val="22"/>
        </w:rPr>
        <w:t xml:space="preserve">enlaces externos que abre el usuario por iniciativa propia; si envía un mensaje, WhatsApp trata esos datos conforme a sus propias condiciones.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026"/>
      </w:tblGrid>
      <w:t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7E0" w:val="clear"/>
          </w:tcPr>
          <w:p>
            <w:pPr>
              <w:spacing w:after="0"/>
            </w:pPr>
            <w:r>
              <w:rPr>
                <w:b/>
                <w:bCs/>
                <w:color w:val="8A6D1F"/>
                <w:sz w:val="20"/>
                <w:szCs w:val="20"/>
              </w:rPr>
              <w:t xml:space="preserve">PENDIENTE ABOGADO: </w:t>
            </w:r>
            <w:r>
              <w:rPr>
                <w:sz w:val="20"/>
                <w:szCs w:val="20"/>
              </w:rPr>
              <w:t xml:space="preserve">Evaluar si OpenStreetMap y WhatsApp constituyen transferencias a declarar o modificar en el registro. Asimismo, documentar las garantías aplicables a cada receptor (acuerdos de encargo de tratamiento y cláusulas contractuales: [[GARANTÍAS DE TRANSFERENCIA]] en la política pública).</w:t>
            </w:r>
          </w:p>
        </w:tc>
      </w:tr>
    </w:tbl>
    <w:p>
      <w:pPr>
        <w:pStyle w:val="Heading2"/>
      </w:pPr>
      <w:bookmarkStart w:name="_Toc26" w:id="26"/>
      <w:r>
        <w:t xml:space="preserve">9.4 Residencia del almacenamiento principal</w:t>
      </w:r>
      <w:bookmarkEnd w:id="26"/>
    </w:p>
    <w:p>
      <w:pPr>
        <w:spacing w:after="160" w:line="320"/>
      </w:pPr>
      <w:r>
        <w:rPr>
          <w:sz w:val="22"/>
          <w:szCs w:val="22"/>
        </w:rPr>
        <w:t xml:space="preserve">La base de datos principal (SQLite) reside en el VPS contratado a Donweb Perú. La ubicación física del centro de datos del proveedor debe confirmarse con el proveedor para precisar el análisis de residencia.</w:t>
      </w:r>
    </w:p>
    <w:p>
      <w:pPr>
        <w:pStyle w:val="Heading1"/>
        <w:pageBreakBefore/>
      </w:pPr>
      <w:bookmarkStart w:name="_Toc27" w:id="27"/>
      <w:r>
        <w:t xml:space="preserve">10. Seguridad técnica implementada</w:t>
      </w:r>
      <w:bookmarkEnd w:id="27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Medida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Transporte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HTTPS forzado en todo el sitio (certificado SSL Sectigo Positive); redirección automática de www al dominio canónico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Formularios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Captcha (Cloudflare Turnstile), honeypot, trampa temporal de 2 segundos, límite de 3 envíos por IP cada 5 minutos, límite de 3 envíos por DNI/correo cada 10 minutos, tope de tamaño de cada solicitud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Panel de administración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Acceso con usuario y contraseña individual (hash scrypt con sal); sesión por cookie HttpOnly/Secure/SameSite=Strict con expiración de 8 horas y revocación inmediata por desactivación; tres roles (admin, operador, lectura) con permisos aplicados en el servidor, no solo en la interfaz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Auditoría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Registro de acciones sensibles: quién, qué acción, sobre qué registro, cuándo y desde qué IP (incluye accesos al panel y gestión de usuarios)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Datos en URLs y logs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Sin datos personales en URLs; el analizador de visitas configurado para ignorar cadenas de consulta; los intentos fallidos de acceso no se persisten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Respaldo</w:t>
            </w:r>
          </w:p>
        </w:tc>
        <w:tc>
          <w:tcPr>
            <w:tcW w:type="dxa" w:w="6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Copia de seguridad del plan del VPS (Donweb) + espejo en Google Sheets + repositorio del código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bookmarkStart w:name="_Toc28" w:id="28"/>
      <w:r>
        <w:t xml:space="preserve">11. Contenido comercial y protección al consumidor</w:t>
      </w:r>
      <w:bookmarkEnd w:id="28"/>
    </w:p>
    <w:p>
      <w:pPr>
        <w:pStyle w:val="Heading2"/>
      </w:pPr>
      <w:bookmarkStart w:name="_Toc29" w:id="29"/>
      <w:r>
        <w:t xml:space="preserve">11.1 Términos de la separación (confirmados por la jefa de ventas)</w:t>
      </w:r>
      <w:bookmarkEnd w:id="29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3026"/>
        <w:gridCol w:w="6000"/>
      </w:tblGrid>
      <w:tr>
        <w:trPr>
          <w:tblHeader/>
        </w:trP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Respuesta de la empresa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¿Costo de la separación?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S/ 1,000 y aplica a todos los tipos de departamento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¿Congela el precio?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Sí: congela el precio vigente en ese momento y la unidad deja de ofrecerse a otros clientes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¿Inicio y fin del congelamiento?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Inicia con la separación; culmina si el cliente incumple reiteradamente el cronograma o desiste voluntariamente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¿Cronograma?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Cronograma de pago del 10% del valor del departamento, acorde a los ingresos mensuales del cliente, con facilidades de pago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¿Documento que confirma?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Constancia de Separación del Departamento: precio de venta, monto de separación, número de departamento, área y fecha; firmada por cliente e inmobiliaria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¿Devolución del monto?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Rige por las cláusulas del contrato notarial</w:t>
            </w:r>
          </w:p>
        </w:tc>
      </w:tr>
      <w:tr>
        <w:tc>
          <w:tcPr>
            <w:tcW w:type="dxa" w:w="3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¿Cargos adicionales?</w:t>
            </w:r>
          </w:p>
        </w:tc>
        <w:tc>
          <w:tcPr>
            <w:tcW w:type="dxa" w:w="6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hay cargos adicionales</w:t>
            </w:r>
          </w:p>
        </w:tc>
      </w:tr>
    </w:tbl>
    <w:p>
      <w:pPr>
        <w:spacing w:after="100"/>
      </w:pPr>
    </w:p>
    <w:p>
      <w:pPr>
        <w:spacing w:after="160" w:line="320"/>
      </w:pPr>
      <w:r>
        <w:rPr>
          <w:sz w:val="22"/>
          <w:szCs w:val="22"/>
        </w:rPr>
        <w:t xml:space="preserve">Todos estos términos están publicados en el sitio web (términos y condiciones, FAQ, datos estructurados y textos legales), y el formulario declara expresamente que su envío no formaliza reserva ni realiza cobro alguno.</w:t>
      </w:r>
    </w:p>
    <w:p>
      <w:pPr>
        <w:pStyle w:val="Heading2"/>
      </w:pPr>
      <w:bookmarkStart w:name="_Toc30" w:id="30"/>
      <w:r>
        <w:t xml:space="preserve">11.2 Puntos de etiquetado a revisar</w:t>
      </w:r>
      <w:bookmarkEnd w:id="30"/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IGV: </w:t>
      </w:r>
      <w:r>
        <w:rPr>
          <w:sz w:val="22"/>
          <w:szCs w:val="22"/>
        </w:rPr>
        <w:t xml:space="preserve">confirmar si los precios publicados (S/ 163,332.50 a S/ 361,741.00) incluyen o no el impuesto; las reglas de publicidad exigen informar el precio total.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Rótulos: </w:t>
      </w:r>
      <w:r>
        <w:rPr>
          <w:sz w:val="22"/>
          <w:szCs w:val="22"/>
        </w:rPr>
        <w:t xml:space="preserve">el proyecto se presenta como “departamentos en construcción” y simultáneamente se anuncian “bonos de preventa” (S/ 24,900 a S/ 47,850). Evaluar coherencia y condiciones de vigencia/acumulación de los bonos.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  <w:sz w:val="22"/>
          <w:szCs w:val="22"/>
        </w:rPr>
        <w:t xml:space="preserve">Fecha de entrega: </w:t>
      </w:r>
      <w:r>
        <w:rPr>
          <w:sz w:val="22"/>
          <w:szCs w:val="22"/>
        </w:rPr>
        <w:t xml:space="preserve">la web informa “entrega prevista 2027”; confirmar la fecha contractual y si corresponde precisarla en la publicidad.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sz w:val="22"/>
          <w:szCs w:val="22"/>
        </w:rPr>
        <w:t xml:space="preserve">Las imágenes, renders y recorridos virtuales se declaran referenciales en los términos y condiciones.</w:t>
      </w:r>
    </w:p>
    <w:p>
      <w:pPr>
        <w:pStyle w:val="Heading1"/>
        <w:pageBreakBefore/>
      </w:pPr>
      <w:bookmarkStart w:name="_Toc31" w:id="31"/>
      <w:r>
        <w:t xml:space="preserve">12. Puntos pendientes de revisión legal (consolidado)</w:t>
      </w:r>
      <w:bookmarkEnd w:id="31"/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Plazos de conservación por finalidad (10 pendientes listados en la política pública, sección 7).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Plazos máximos de respuesta para cada derecho ARCO y requisitos de verificación de identidad del solicitante.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Designación formal del responsable interno de protección de datos.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Garantías de transferencia internacional: acuerdos de encargo con Google, Meta, Resend y Cloudflare (la política pública mantiene el marcador [[GARANTÍAS DE TRANSFERENCIA]]).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Evaluar si OpenStreetMap y WhatsApp requieren declaración registral adicional.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Libro de Reclamaciones: determinar si requiere inscripción como banco separado en el RNPDP.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Inventario formal de cookies (nombre, duración, propósito).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Etiquetas de precios: inclusión del IGV.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Condiciones formales de los bonos de preventa (vigencia, acumulación, aplicación).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Contrato notarial: condiciones de devolución y fecha de entrega contractual.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Tratamiento de datos de menores: el sitio no verifica edad (público objetivo adulto).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rPr>
          <w:sz w:val="22"/>
          <w:szCs w:val="22"/>
        </w:rPr>
        <w:t xml:space="preserve">Base jurídica de cada finalidad: revisión integral conforme al D.S. N° 016-2024-JUS.</w:t>
      </w:r>
    </w:p>
    <w:p>
      <w:pPr>
        <w:pStyle w:val="Heading1"/>
        <w:pageBreakBefore/>
      </w:pPr>
      <w:bookmarkStart w:name="_Toc32" w:id="32"/>
      <w:r>
        <w:t xml:space="preserve">13. Documentación de referencia</w:t>
      </w:r>
      <w:bookmarkEnd w:id="32"/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4026"/>
        <w:gridCol w:w="5000"/>
      </w:tblGrid>
      <w:tr>
        <w:trPr>
          <w:tblHeader/>
        </w:trP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Documento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A1931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Ubicación</w:t>
            </w:r>
          </w:p>
        </w:tc>
      </w:tr>
      <w:t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Constancia de inscripción RNPDP (INS-2026-6247, con QR)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docs/constanciaInscripSIPDPHolding.pdf (carpeta privada de la empresa)</w:t>
            </w:r>
          </w:p>
        </w:tc>
      </w:tr>
      <w:t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Constancia de modificación (MOD-2026-2174)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docs/constanciaModificación.pdf (carpeta privada de la empresa)</w:t>
            </w:r>
          </w:p>
        </w:tc>
      </w:tr>
      <w:t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Política de privacidad v2026-10-17.1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inmobiliariaholdingreynaga.com/politica-de-privacidad (pública)</w:t>
            </w:r>
          </w:p>
        </w:tc>
      </w:tr>
      <w:t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Términos y condiciones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inmobiliariaholdingreynaga.com/terminos-y-condiciones (pública)</w:t>
            </w:r>
          </w:p>
        </w:tc>
      </w:tr>
      <w:t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Libro de Reclamaciones virtual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inmobiliariaholdingreynaga.com/libro-de-reclamaciones (pública)</w:t>
            </w:r>
          </w:p>
        </w:tc>
      </w:tr>
      <w:t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Aviso Anexo II (impresso en sala de ventas)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Descargable desde el panel de administración</w:t>
            </w:r>
          </w:p>
        </w:tc>
      </w:tr>
      <w:t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Manual de uso del panel de administración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docs/Manual-Panel-Admin-Torres-Titanium.docx</w:t>
            </w:r>
          </w:p>
        </w:tc>
      </w:tr>
      <w:tr>
        <w:tc>
          <w:tcPr>
            <w:tcW w:type="dxa" w:w="4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Documento técnico del sitio web</w:t>
            </w:r>
          </w:p>
        </w:tc>
        <w:tc>
          <w:tcPr>
            <w:tcW w:type="dxa" w:w="5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6F8" w:val="clear"/>
            <w:vAlign w:val="center"/>
          </w:tcPr>
          <w:p>
            <w:pPr>
              <w:spacing w:after="30" w:line="270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docs/Documento-Tecnico-Web-Torres-Titanium.docx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bookmarkStart w:name="_Toc33" w:id="33"/>
      <w:r>
        <w:t xml:space="preserve">14. Información pendiente de proporcionar por el titular</w:t>
      </w:r>
      <w:bookmarkEnd w:id="33"/>
    </w:p>
    <w:p>
      <w:pPr>
        <w:spacing w:after="160" w:line="320"/>
      </w:pPr>
      <w:r>
        <w:rPr>
          <w:sz w:val="22"/>
          <w:szCs w:val="22"/>
        </w:rPr>
        <w:t xml:space="preserve">Estos datos complementarios permitirán completar el análisis: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sz w:val="22"/>
          <w:szCs w:val="22"/>
        </w:rPr>
        <w:t xml:space="preserve">Ubicación física del centro de datos de Donweb que aloja el VPS (consultar al proveedor: ¿Perú o Estados Unidos?).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sz w:val="22"/>
          <w:szCs w:val="22"/>
        </w:rPr>
        <w:t xml:space="preserve">Cuentas de correo con acceso a la hoja de Google Sheets de respaldo.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sz w:val="22"/>
          <w:szCs w:val="22"/>
        </w:rPr>
        <w:t xml:space="preserve">Confirmación de si los precios publicados incluyen IGV.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sz w:val="22"/>
          <w:szCs w:val="22"/>
        </w:rPr>
        <w:t xml:space="preserve">Reglas formales de los bonos de preventa (vigencia, acumulación, si aplican sobre el precio final).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sz w:val="22"/>
          <w:szCs w:val="22"/>
        </w:rPr>
        <w:t xml:space="preserve">Existencia y condiciones del contrato notarial de separación/compraventa.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sz w:val="22"/>
          <w:szCs w:val="22"/>
        </w:rPr>
        <w:t xml:space="preserve">Otros bancos de datos de la empresa (RRHH, proveedores, contabilidad) que deban inscribirse.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sz w:val="22"/>
          <w:szCs w:val="22"/>
        </w:rPr>
        <w:t xml:space="preserve">Terceros con acceso a leads o correos (agencias, personal externo).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sz w:val="22"/>
          <w:szCs w:val="22"/>
        </w:rPr>
        <w:t xml:space="preserve">Configuración de la propiedad de Google Analytics (anonimización de IP, retención de datos).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rPr>
          <w:sz w:val="22"/>
          <w:szCs w:val="22"/>
        </w:rPr>
        <w:t xml:space="preserve">Existencia de versión impresa del aviso de privacidad en la sala de ventas.</w:t>
      </w:r>
    </w:p>
    <w:p>
      <w:pPr>
        <w:spacing w:after="100"/>
      </w:pPr>
    </w:p>
    <w:p>
      <w:pPr>
        <w:spacing w:after="160" w:line="320"/>
      </w:pPr>
      <w:r>
        <w:rPr>
          <w:b/>
          <w:bCs/>
          <w:sz w:val="22"/>
          <w:szCs w:val="22"/>
        </w:rPr>
        <w:t xml:space="preserve">Fin del dossier. </w:t>
      </w:r>
      <w:r>
        <w:rPr>
          <w:sz w:val="22"/>
          <w:szCs w:val="22"/>
        </w:rPr>
        <w:t xml:space="preserve">Preparado el 17/10/2026 sobre el estado real del sistema; el equipo técnico puede demostrar en vivo cualquier funcionalidad aquí descrita.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Dossier Legal — Torres Titanium · CONFIDENCIAL · Página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de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0A1931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0A193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0A1931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8A6D1F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2026-10-17T07:18:26.736Z</dcterms:created>
  <dcterms:modified xsi:type="dcterms:W3CDTF">2026-10-17T07:18:26.738Z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