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8A6D1F"/>
          <w:sz w:val="24"/>
          <w:szCs w:val="24"/>
        </w:rPr>
        <w:t xml:space="preserve">HOLDING INVERSIONES REYNAGA S.A.C.</w:t>
      </w:r>
    </w:p>
    <w:p>
      <w:pPr>
        <w:spacing w:after="100" w:before="300"/>
        <w:jc w:val="center"/>
      </w:pPr>
      <w:r>
        <w:rPr>
          <w:b/>
          <w:bCs/>
          <w:color w:val="0A1931"/>
          <w:sz w:val="48"/>
          <w:szCs w:val="48"/>
        </w:rPr>
        <w:t xml:space="preserve">Dossier Legal</w:t>
      </w:r>
    </w:p>
    <w:p>
      <w:pPr>
        <w:spacing w:after="300"/>
        <w:jc w:val="center"/>
      </w:pPr>
      <w:r>
        <w:rPr>
          <w:color w:val="0A1931"/>
          <w:sz w:val="28"/>
          <w:szCs w:val="28"/>
        </w:rPr>
        <w:t xml:space="preserve">del Sitio Web Torres Titanium — v2.0 (post-dictamen)</w:t>
      </w:r>
    </w:p>
    <w:p>
      <w:pPr>
        <w:jc w:val="center"/>
      </w:pPr>
      <w:r>
        <w:rPr>
          <w:color w:val="666666"/>
          <w:sz w:val="23"/>
          <w:szCs w:val="23"/>
        </w:rPr>
        <w:t xml:space="preserve">inmobiliariaholdingreynaga.com</w:t>
      </w:r>
    </w:p>
    <w:p>
      <w:pPr>
        <w:spacing w:after="100" w:before="400"/>
        <w:jc w:val="center"/>
      </w:pPr>
      <w:r>
        <w:rPr>
          <w:color w:val="666666"/>
          <w:sz w:val="21"/>
          <w:szCs w:val="21"/>
        </w:rPr>
        <w:t xml:space="preserve">Estado de cumplimiento tras el dictamen legal del 17/10/2026</w:t>
      </w:r>
    </w:p>
    <w:p>
      <w:pPr>
        <w:jc w:val="center"/>
      </w:pPr>
      <w:r>
        <w:rPr>
          <w:color w:val="666666"/>
          <w:sz w:val="21"/>
          <w:szCs w:val="21"/>
        </w:rPr>
        <w:t xml:space="preserve">Implementación en el sitio: 18/10/2026 · Política de Privacidad v2026-10-18.1</w:t>
      </w:r>
    </w:p>
    <w:p>
      <w:pPr>
        <w:spacing w:after="100" w:before="2200"/>
        <w:jc w:val="center"/>
      </w:pPr>
      <w:r>
        <w:rPr>
          <w:color w:val="666666"/>
          <w:sz w:val="21"/>
          <w:szCs w:val="21"/>
        </w:rPr>
        <w:t xml:space="preserve">Preparado para la segunda ronda de revisión de asesoría legal</w:t>
      </w:r>
    </w:p>
    <w:p>
      <w:pPr>
        <w:jc w:val="center"/>
      </w:pPr>
      <w:r>
        <w:rPr>
          <w:color w:val="666666"/>
          <w:sz w:val="21"/>
          <w:szCs w:val="21"/>
        </w:rPr>
        <w:t xml:space="preserve">Versión 2.0 — 18 de octubre de 2026</w:t>
      </w:r>
    </w:p>
    <w:p>
      <w:pPr>
        <w:spacing w:before="400"/>
        <w:jc w:val="center"/>
      </w:pPr>
      <w:r>
        <w:rPr>
          <w:i/>
          <w:iCs/>
          <w:color w:val="8A6D1F"/>
          <w:sz w:val="19"/>
          <w:szCs w:val="19"/>
        </w:rPr>
        <w:t xml:space="preserve">CONFIDENCIAL — Contiene datos personales del representante legal</w:t>
      </w:r>
    </w:p>
    <w:p>
      <w:pPr>
        <w:pStyle w:val="Heading1"/>
        <w:pageBreakBefore/>
        <w:jc w:val="center"/>
      </w:pPr>
      <w:bookmarkStart w:name="_Toc1" w:id="1"/>
      <w:r>
        <w:t xml:space="preserve">Contenido</w:t>
      </w:r>
      <w:bookmarkEnd w:id="1"/>
    </w:p>
    <w:sdt>
      <w:sdtPr>
        <w:alias w:val="Índice"/>
      </w:sdtPr>
      <w:sdtContent>
        <w:p>
          <w:pPr>
            <w:pStyle w:val="TOC1"/>
            <w:tabs>
              <w:tab w:val="right" w:pos="9026" w:leader="dot"/>
            </w:tabs>
          </w:pPr>
          <w:r>
            <w:fldChar w:fldCharType="begin" w:dirty="true"/>
            <w:instrText xml:space="preserve">TOC \h \o "1-3"</w:instrText>
            <w:fldChar w:fldCharType="separate"/>
          </w:r>
          <w:hyperlink w:history="1" w:anchor="_Toc1">
            <w:r>
              <w:t xml:space="preserve">Contenido</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Identificación del titular del banco de datos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2. Registro Nacional de Protección de Datos Personales (RNPDP)</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2.1 Inscripción y modificación (vigentes)</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2.2 Banco del Libro de Reclamaciones (dictamen punto 1)</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3. Bases jurídicas del tratamiento (dictamen punto 2)</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4. Derechos ARCO y Portabilidad (dictamen punto 3)</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5. Plazos de conservación de datos (dictamen punto 4)</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6. Transferencias internacionales y garantías (dictamen punto 5)</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7. Inventario de cookies y consentimiento (dictamen punto 6)</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8. Datos personales de menores (dictamen punto 7)</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9. Protección al consumidor (dictamen punto 8)</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9.1 Separación y devolución (riesgo corregido)</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9.2 Precios e IGV</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9.3 Bonos de preventa (D. Leg. N° 1044)</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9.4 Art. 77 de la Ley N° 29571</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9.5 Constancia de Separación impresa</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10. Seguridad técnica (sin cambios del dictamen)</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11. Puntos pendientes (consolidado v2.0)</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12. Documentación de referencia</w:t>
            </w:r>
            <w:r>
              <w:tab/>
            </w:r>
            <w:r>
              <w:fldChar w:fldCharType="begin" w:dirty="true"/>
              <w:instrText xml:space="preserve">PAGEREF _Toc20 \h</w:instrText>
              <w:fldChar w:fldCharType="separate"/>
              <w:fldChar w:fldCharType="end"/>
            </w:r>
          </w:hyperlink>
        </w:p>
        <w:p>
          <w:r>
            <w:fldChar w:fldCharType="end"/>
          </w:r>
        </w:p>
      </w:sdtContent>
    </w:sdt>
    <w:p>
      <w:pPr>
        <w:spacing w:before="200"/>
      </w:pPr>
      <w:r>
        <w:rPr>
          <w:i/>
          <w:iCs/>
          <w:color w:val="666666"/>
          <w:sz w:val="19"/>
          <w:szCs w:val="19"/>
        </w:rPr>
        <w:t xml:space="preserve">Nota: al abrir por primera vez, haga clic derecho sobre este índice y elija “Actualizar campos”. Esta versión 2.0 incorpora el dictamen del 17/10/2026: los puntos resueltos aparecen marcados en verde y los pendientes en ámbar.</w:t>
      </w:r>
    </w:p>
    <w:p>
      <w:pPr>
        <w:pStyle w:val="Heading1"/>
        <w:pageBreakBefore/>
      </w:pPr>
      <w:bookmarkStart w:name="_Toc2" w:id="2"/>
      <w:r>
        <w:t xml:space="preserve">1. Identificación del titular del banco de datos</w:t>
      </w:r>
      <w:bookmarkEnd w:id="2"/>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200"/>
        <w:gridCol w:w="5826"/>
      </w:tblGrid>
      <w:tr>
        <w:trPr>
          <w:tblHeader/>
        </w:trPr>
        <w:tc>
          <w:tcPr>
            <w:tcW w:type="dxa" w:w="3200"/>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Campo</w:t>
            </w:r>
          </w:p>
        </w:tc>
        <w:tc>
          <w:tcPr>
            <w:tcW w:type="dxa" w:w="5826"/>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Dato</w:t>
            </w:r>
          </w:p>
        </w:tc>
      </w:tr>
      <w:tr>
        <w:tc>
          <w:tcPr>
            <w:tcW w:type="dxa" w:w="32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Razón social</w:t>
            </w:r>
          </w:p>
        </w:tc>
        <w:tc>
          <w:tcPr>
            <w:tcW w:type="dxa" w:w="5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HOLDING INVERSIONES REYNAGA S.A.C.</w:t>
            </w:r>
          </w:p>
        </w:tc>
      </w:tr>
      <w:tr>
        <w:tc>
          <w:tcPr>
            <w:tcW w:type="dxa" w:w="32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RUC</w:t>
            </w:r>
          </w:p>
        </w:tc>
        <w:tc>
          <w:tcPr>
            <w:tcW w:type="dxa" w:w="5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20614870959</w:t>
            </w:r>
          </w:p>
        </w:tc>
      </w:tr>
      <w:tr>
        <w:tc>
          <w:tcPr>
            <w:tcW w:type="dxa" w:w="32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Domicilio fiscal (SUNAT)</w:t>
            </w:r>
          </w:p>
        </w:tc>
        <w:tc>
          <w:tcPr>
            <w:tcW w:type="dxa" w:w="5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Jr. Lino Nro. 132, Oficina 401, Huancayo Cercado, Huancayo, Junín</w:t>
            </w:r>
          </w:p>
        </w:tc>
      </w:tr>
      <w:tr>
        <w:tc>
          <w:tcPr>
            <w:tcW w:type="dxa" w:w="32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Establecimiento / oficina de ventas</w:t>
            </w:r>
          </w:p>
        </w:tc>
        <w:tc>
          <w:tcPr>
            <w:tcW w:type="dxa" w:w="5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Av. San Agustín 154, San Carlos, Huancayo</w:t>
            </w:r>
          </w:p>
        </w:tc>
      </w:tr>
      <w:tr>
        <w:tc>
          <w:tcPr>
            <w:tcW w:type="dxa" w:w="32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Horario de atención</w:t>
            </w:r>
          </w:p>
        </w:tc>
        <w:tc>
          <w:tcPr>
            <w:tcW w:type="dxa" w:w="5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Lunes a sábado, 8:30–13:30 y 15:00–18:30</w:t>
            </w:r>
          </w:p>
        </w:tc>
      </w:tr>
      <w:tr>
        <w:tc>
          <w:tcPr>
            <w:tcW w:type="dxa" w:w="32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Teléfono / WhatsApp</w:t>
            </w:r>
          </w:p>
        </w:tc>
        <w:tc>
          <w:tcPr>
            <w:tcW w:type="dxa" w:w="5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+51 981 407 634</w:t>
            </w:r>
          </w:p>
        </w:tc>
      </w:tr>
      <w:tr>
        <w:tc>
          <w:tcPr>
            <w:tcW w:type="dxa" w:w="32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Correo ventas</w:t>
            </w:r>
          </w:p>
        </w:tc>
        <w:tc>
          <w:tcPr>
            <w:tcW w:type="dxa" w:w="5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holdingreynagaventas@gmail.com</w:t>
            </w:r>
          </w:p>
        </w:tc>
      </w:tr>
      <w:tr>
        <w:tc>
          <w:tcPr>
            <w:tcW w:type="dxa" w:w="32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Correo canales ARCO</w:t>
            </w:r>
          </w:p>
        </w:tc>
        <w:tc>
          <w:tcPr>
            <w:tcW w:type="dxa" w:w="5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holdingreynagaredes@gmail.com (formalizado por dictamen)</w:t>
            </w:r>
          </w:p>
        </w:tc>
      </w:tr>
      <w:tr>
        <w:tc>
          <w:tcPr>
            <w:tcW w:type="dxa" w:w="32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Representante legal</w:t>
            </w:r>
          </w:p>
        </w:tc>
        <w:tc>
          <w:tcPr>
            <w:tcW w:type="dxa" w:w="5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Reynaga Soto, Jhon Arquimides — DNI 20051593</w:t>
            </w:r>
          </w:p>
        </w:tc>
      </w:tr>
      <w:tr>
        <w:tc>
          <w:tcPr>
            <w:tcW w:type="dxa" w:w="32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Vigencia de poder</w:t>
            </w:r>
          </w:p>
        </w:tc>
        <w:tc>
          <w:tcPr>
            <w:tcW w:type="dxa" w:w="5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Vigente. Acreditada ante el SIPDP</w:t>
            </w:r>
          </w:p>
        </w:tc>
      </w:tr>
      <w:tr>
        <w:tc>
          <w:tcPr>
            <w:tcW w:type="dxa" w:w="32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Responsable Interno de Atención ARCO</w:t>
            </w:r>
          </w:p>
        </w:tc>
        <w:tc>
          <w:tcPr>
            <w:tcW w:type="dxa" w:w="5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Gerencia General (Sr. Jhon Arquimides Reynaga Soto) — designado por dictamen y publicado en la política</w:t>
            </w:r>
          </w:p>
        </w:tc>
      </w:tr>
    </w:tbl>
    <w:p>
      <w:pPr>
        <w:spacing w:after="100"/>
      </w:pPr>
    </w:p>
    <w:p>
      <w:pPr>
        <w:pStyle w:val="Heading1"/>
        <w:pageBreakBefore/>
      </w:pPr>
      <w:bookmarkStart w:name="_Toc3" w:id="3"/>
      <w:r>
        <w:t xml:space="preserve">2. Registro Nacional de Protección de Datos Personales (RNPDP)</w:t>
      </w:r>
      <w:bookmarkEnd w:id="3"/>
    </w:p>
    <w:p>
      <w:pPr>
        <w:pStyle w:val="Heading2"/>
      </w:pPr>
      <w:bookmarkStart w:name="_Toc4" w:id="4"/>
      <w:r>
        <w:t xml:space="preserve">2.1 Inscripción y modificación (vigentes)</w:t>
      </w:r>
      <w:bookmarkEnd w:id="4"/>
    </w:p>
    <w:p>
      <w:pPr>
        <w:pStyle w:val="ListParagraph"/>
        <w:numPr>
          <w:ilvl w:val="0"/>
          <w:numId w:val="2"/>
        </w:numPr>
        <w:spacing w:after="80" w:line="300"/>
      </w:pPr>
      <w:r>
        <w:rPr>
          <w:b/>
          <w:bCs/>
          <w:sz w:val="22"/>
          <w:szCs w:val="22"/>
        </w:rPr>
        <w:t xml:space="preserve">Banco PROSPECTO DE CLIENTES - TORRES TITANIUM: </w:t>
      </w:r>
      <w:r>
        <w:rPr>
          <w:sz w:val="22"/>
          <w:szCs w:val="22"/>
        </w:rPr>
        <w:t xml:space="preserve">INS-2026-6247 (16/10/2026), modificado por MOD-2026-2174 (17/10/2026): transferencias internacionales declaradas hacia EE. UU. (Google LLC, Meta Platforms, Inc., Resend Inc., Cloudflare, Inc.).</w:t>
      </w:r>
    </w:p>
    <w:p>
      <w:pPr>
        <w:pStyle w:val="ListParagraph"/>
        <w:numPr>
          <w:ilvl w:val="0"/>
          <w:numId w:val="2"/>
        </w:numPr>
        <w:spacing w:after="80" w:line="300"/>
      </w:pPr>
      <w:r>
        <w:rPr>
          <w:sz w:val="22"/>
          <w:szCs w:val="22"/>
        </w:rPr>
        <w:t xml:space="preserve">Constancias archivadas en docs/ (privadas): constanciaInscripSIPDPHolding.pdf y constanciaModificación.pdf, ambas con QR de verificación.</w:t>
      </w:r>
    </w:p>
    <w:p>
      <w:pPr>
        <w:pStyle w:val="Heading2"/>
      </w:pPr>
      <w:bookmarkStart w:name="_Toc5" w:id="5"/>
      <w:r>
        <w:t xml:space="preserve">2.2 Banco del Libro de Reclamaciones (dictamen punto 1)</w:t>
      </w:r>
      <w:bookmarkEnd w:id="5"/>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E8F5E9" w:val="clear"/>
          </w:tcPr>
          <w:p>
            <w:pPr>
              <w:spacing w:after="0"/>
            </w:pPr>
            <w:r>
              <w:rPr>
                <w:b/>
                <w:bCs/>
                <w:color w:val="1B5E20"/>
                <w:sz w:val="20"/>
                <w:szCs w:val="20"/>
              </w:rPr>
              <w:t xml:space="preserve">RESUELTO POR DICTAMEN: </w:t>
            </w:r>
            <w:r>
              <w:rPr>
                <w:sz w:val="20"/>
                <w:szCs w:val="20"/>
              </w:rPr>
              <w:t xml:space="preserve">El dictamen concluyó que el Libro de Reclamaciones SÍ requiere inscripción como banco de datos independiente (finalidad legal distinta y categorías adicionales de datos).</w:t>
            </w:r>
          </w:p>
        </w:tc>
      </w:tr>
    </w:tbl>
    <w:p>
      <w:pPr>
        <w:pStyle w:val="ListParagraph"/>
        <w:numPr>
          <w:ilvl w:val="0"/>
          <w:numId w:val="2"/>
        </w:numPr>
        <w:spacing w:after="80" w:line="300"/>
      </w:pPr>
      <w:r>
        <w:rPr>
          <w:b/>
          <w:bCs/>
          <w:sz w:val="22"/>
          <w:szCs w:val="22"/>
        </w:rPr>
        <w:t xml:space="preserve">Banco a inscribir: </w:t>
      </w:r>
      <w:r>
        <w:rPr>
          <w:sz w:val="22"/>
          <w:szCs w:val="22"/>
        </w:rPr>
        <w:t xml:space="preserve">QUEJAS Y RECLAMOS, declarando flujo transfronterizo a Google LLC (Sheets) y Resend Inc. (PDF por correo), ambos EE. UU.</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FFF7E0" w:val="clear"/>
          </w:tcPr>
          <w:p>
            <w:pPr>
              <w:spacing w:after="0"/>
            </w:pPr>
            <w:r>
              <w:rPr>
                <w:b/>
                <w:bCs/>
                <w:color w:val="8A6D1F"/>
                <w:sz w:val="20"/>
                <w:szCs w:val="20"/>
              </w:rPr>
              <w:t xml:space="preserve">PENDIENTE: </w:t>
            </w:r>
            <w:r>
              <w:rPr>
                <w:sz w:val="20"/>
                <w:szCs w:val="20"/>
              </w:rPr>
              <w:t xml:space="preserve">Inscripción en trámite ante el SIPDP por el titular. Al llegar la constancia, se inserta el código en la política (§2) con nuevo bump de versión.</w:t>
            </w:r>
          </w:p>
        </w:tc>
      </w:tr>
    </w:tbl>
    <w:p>
      <w:pPr>
        <w:spacing w:after="100"/>
      </w:pPr>
    </w:p>
    <w:p>
      <w:pPr>
        <w:pStyle w:val="Heading1"/>
        <w:pageBreakBefore/>
      </w:pPr>
      <w:bookmarkStart w:name="_Toc6" w:id="6"/>
      <w:r>
        <w:t xml:space="preserve">3. Bases jurídicas del tratamiento (dictamen punto 2)</w:t>
      </w:r>
      <w:bookmarkEnd w:id="6"/>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E8F5E9" w:val="clear"/>
          </w:tcPr>
          <w:p>
            <w:pPr>
              <w:spacing w:after="0"/>
            </w:pPr>
            <w:r>
              <w:rPr>
                <w:b/>
                <w:bCs/>
                <w:color w:val="1B5E20"/>
                <w:sz w:val="20"/>
                <w:szCs w:val="20"/>
              </w:rPr>
              <w:t xml:space="preserve">RESUELTO POR DICTAMEN: </w:t>
            </w:r>
            <w:r>
              <w:rPr>
                <w:sz w:val="20"/>
                <w:szCs w:val="20"/>
              </w:rPr>
              <w:t xml:space="preserve">El dictamen corrigió el cuadro de bases: en el Perú no rige el “interés legítimo” europeo abierto, sino el consentimiento y las excepciones taxativas del Art. 14 de la Ley N° 29733. La tabla corregida está publicada en la política §4.</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600"/>
        <w:gridCol w:w="3600"/>
        <w:gridCol w:w="2826"/>
      </w:tblGrid>
      <w:tr>
        <w:trPr>
          <w:tblHeader/>
        </w:trPr>
        <w:tc>
          <w:tcPr>
            <w:tcW w:type="dxa" w:w="2600"/>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Finalidad</w:t>
            </w:r>
          </w:p>
        </w:tc>
        <w:tc>
          <w:tcPr>
            <w:tcW w:type="dxa" w:w="3600"/>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Base jurídica</w:t>
            </w:r>
          </w:p>
        </w:tc>
        <w:tc>
          <w:tcPr>
            <w:tcW w:type="dxa" w:w="2826"/>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Consentimiento</w:t>
            </w:r>
          </w:p>
        </w:tc>
      </w:tr>
      <w:tr>
        <w:tc>
          <w:tcPr>
            <w:tcW w:type="dxa" w:w="26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Atender consulta, cotización o reserva</w:t>
            </w:r>
          </w:p>
        </w:tc>
        <w:tc>
          <w:tcPr>
            <w:tcW w:type="dxa" w:w="36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Consentimiento expreso (Art. 13.5) y ejecución de medidas precontractuales a solicitud del titular (Art. 14, inc. 5)</w:t>
            </w:r>
          </w:p>
        </w:tc>
        <w:tc>
          <w:tcPr>
            <w:tcW w:type="dxa" w:w="2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Casilla obligatoria sin premarcar, con evidencia</w:t>
            </w:r>
          </w:p>
        </w:tc>
      </w:tr>
      <w:tr>
        <w:tc>
          <w:tcPr>
            <w:tcW w:type="dxa" w:w="26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Promociones por WhatsApp, llamada o correo</w:t>
            </w:r>
          </w:p>
        </w:tc>
        <w:tc>
          <w:tcPr>
            <w:tcW w:type="dxa" w:w="3600"/>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Consentimiento libre, previo, expreso, informado e inequívoco (Art. 13.5; Art. 58.1.e Ley N° 29571)</w:t>
            </w:r>
          </w:p>
        </w:tc>
        <w:tc>
          <w:tcPr>
            <w:tcW w:type="dxa" w:w="2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Casilla opcional sin premarcar; revocable</w:t>
            </w:r>
          </w:p>
        </w:tc>
      </w:tr>
      <w:tr>
        <w:tc>
          <w:tcPr>
            <w:tcW w:type="dxa" w:w="26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Libro de Reclamaciones virtual</w:t>
            </w:r>
          </w:p>
        </w:tc>
        <w:tc>
          <w:tcPr>
            <w:tcW w:type="dxa" w:w="36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Mandato legal (Art. 14, inc. 13; Art. 150 Ley N° 29571; D.S. N° 011-2011-PCM)</w:t>
            </w:r>
          </w:p>
        </w:tc>
        <w:tc>
          <w:tcPr>
            <w:tcW w:type="dxa" w:w="2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No requiere; no condiciona la atención</w:t>
            </w:r>
          </w:p>
        </w:tc>
      </w:tr>
      <w:tr>
        <w:tc>
          <w:tcPr>
            <w:tcW w:type="dxa" w:w="26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Analítica (Google Analytics 4)</w:t>
            </w:r>
          </w:p>
        </w:tc>
        <w:tc>
          <w:tcPr>
            <w:tcW w:type="dxa" w:w="3600"/>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Consentimiento expreso por categoría de cookies (Art. 13.5)</w:t>
            </w:r>
          </w:p>
        </w:tc>
        <w:tc>
          <w:tcPr>
            <w:tcW w:type="dxa" w:w="2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Bloqueado hasta aceptar la categoría</w:t>
            </w:r>
          </w:p>
        </w:tc>
      </w:tr>
      <w:tr>
        <w:tc>
          <w:tcPr>
            <w:tcW w:type="dxa" w:w="26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Publicidad (Meta Pixel)</w:t>
            </w:r>
          </w:p>
        </w:tc>
        <w:tc>
          <w:tcPr>
            <w:tcW w:type="dxa" w:w="36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Consentimiento expreso por categoría de cookies (Art. 13.5)</w:t>
            </w:r>
          </w:p>
        </w:tc>
        <w:tc>
          <w:tcPr>
            <w:tcW w:type="dxa" w:w="2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Bloqueado hasta aceptar la categoría</w:t>
            </w:r>
          </w:p>
        </w:tc>
      </w:tr>
      <w:tr>
        <w:tc>
          <w:tcPr>
            <w:tcW w:type="dxa" w:w="26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Prevención de abuso y seguridad</w:t>
            </w:r>
          </w:p>
        </w:tc>
        <w:tc>
          <w:tcPr>
            <w:tcW w:type="dxa" w:w="3600"/>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Obligación legal de medidas de seguridad (Art. 16) y relación precontractual segura (Art. 14, inc. 5)</w:t>
            </w:r>
          </w:p>
        </w:tc>
        <w:tc>
          <w:tcPr>
            <w:tcW w:type="dxa" w:w="2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Aplicado técnicamente (captcha, límites de tasa)</w:t>
            </w:r>
          </w:p>
        </w:tc>
      </w:tr>
    </w:tbl>
    <w:p>
      <w:pPr>
        <w:spacing w:after="100"/>
      </w:pPr>
    </w:p>
    <w:p>
      <w:pPr>
        <w:pStyle w:val="Heading1"/>
        <w:pageBreakBefore/>
      </w:pPr>
      <w:bookmarkStart w:name="_Toc7" w:id="7"/>
      <w:r>
        <w:t xml:space="preserve">4. Derechos ARCO y Portabilidad (dictamen punto 3)</w:t>
      </w:r>
      <w:bookmarkEnd w:id="7"/>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E8F5E9" w:val="clear"/>
          </w:tcPr>
          <w:p>
            <w:pPr>
              <w:spacing w:after="0"/>
            </w:pPr>
            <w:r>
              <w:rPr>
                <w:b/>
                <w:bCs/>
                <w:color w:val="1B5E20"/>
                <w:sz w:val="20"/>
                <w:szCs w:val="20"/>
              </w:rPr>
              <w:t xml:space="preserve">RESUELTO POR DICTAMEN: </w:t>
            </w:r>
            <w:r>
              <w:rPr>
                <w:sz w:val="20"/>
                <w:szCs w:val="20"/>
              </w:rPr>
              <w:t xml:space="preserve">Plazos, verificación y responsable definidos e implementados en la política §9. Portabilidad declarada OPERATIVA vía exportación CSV (D.S. N° 016-2024-JUS).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400"/>
        <w:gridCol w:w="5626"/>
      </w:tblGrid>
      <w:tr>
        <w:trPr>
          <w:tblHeader/>
        </w:trPr>
        <w:tc>
          <w:tcPr>
            <w:tcW w:type="dxa" w:w="3400"/>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Elemento</w:t>
            </w:r>
          </w:p>
        </w:tc>
        <w:tc>
          <w:tcPr>
            <w:tcW w:type="dxa" w:w="5626"/>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Definición</w:t>
            </w:r>
          </w:p>
        </w:tc>
      </w:tr>
      <w:tr>
        <w:tc>
          <w:tcPr>
            <w:tcW w:type="dxa" w:w="34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Responsable Interno</w:t>
            </w:r>
          </w:p>
        </w:tc>
        <w:tc>
          <w:tcPr>
            <w:tcW w:type="dxa" w:w="56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Gerencia General — Sr. Jhon Arquimides Reynaga Soto</w:t>
            </w:r>
          </w:p>
        </w:tc>
      </w:tr>
      <w:tr>
        <w:tc>
          <w:tcPr>
            <w:tcW w:type="dxa" w:w="34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Canales</w:t>
            </w:r>
          </w:p>
        </w:tc>
        <w:tc>
          <w:tcPr>
            <w:tcW w:type="dxa" w:w="56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Correo holdingreynagaredes@gmail.com; domicilio fiscal Jr. Lino 132 Of. 401; oficina Av. San Agustín 154</w:t>
            </w:r>
          </w:p>
        </w:tc>
      </w:tr>
      <w:tr>
        <w:tc>
          <w:tcPr>
            <w:tcW w:type="dxa" w:w="34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Verificación de identidad</w:t>
            </w:r>
          </w:p>
        </w:tc>
        <w:tc>
          <w:tcPr>
            <w:tcW w:type="dxa" w:w="56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Nombres completos; copia simple/imagen del DNI o CE (apoderado: vigencia de poder o carta poder legalizada); descripción de los datos; medio de respuesta</w:t>
            </w:r>
          </w:p>
        </w:tc>
      </w:tr>
      <w:tr>
        <w:tc>
          <w:tcPr>
            <w:tcW w:type="dxa" w:w="34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Plazo Información</w:t>
            </w:r>
          </w:p>
        </w:tc>
        <w:tc>
          <w:tcPr>
            <w:tcW w:type="dxa" w:w="56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8 días hábiles</w:t>
            </w:r>
          </w:p>
        </w:tc>
      </w:tr>
      <w:tr>
        <w:tc>
          <w:tcPr>
            <w:tcW w:type="dxa" w:w="34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Plazo Acceso y Portabilidad</w:t>
            </w:r>
          </w:p>
        </w:tc>
        <w:tc>
          <w:tcPr>
            <w:tcW w:type="dxa" w:w="56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20 días hábiles (entrega en CSV)</w:t>
            </w:r>
          </w:p>
        </w:tc>
      </w:tr>
      <w:tr>
        <w:tc>
          <w:tcPr>
            <w:tcW w:type="dxa" w:w="34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Plazo Rectificación, Cancelación, Oposición y Revocación</w:t>
            </w:r>
          </w:p>
        </w:tc>
        <w:tc>
          <w:tcPr>
            <w:tcW w:type="dxa" w:w="56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10 días hábiles</w:t>
            </w:r>
          </w:p>
        </w:tc>
      </w:tr>
      <w:tr>
        <w:tc>
          <w:tcPr>
            <w:tcW w:type="dxa" w:w="34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Revocación promocional</w:t>
            </w:r>
          </w:p>
        </w:tc>
        <w:tc>
          <w:tcPr>
            <w:tcW w:type="dxa" w:w="56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Inmediata, sin requisitos adicionales</w:t>
            </w:r>
          </w:p>
        </w:tc>
      </w:tr>
      <w:tr>
        <w:tc>
          <w:tcPr>
            <w:tcW w:type="dxa" w:w="34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Reclamo ante ANPDP</w:t>
            </w:r>
          </w:p>
        </w:tc>
        <w:tc>
          <w:tcPr>
            <w:tcW w:type="dxa" w:w="56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Publicada la vía (gob.pe/anpd)</w:t>
            </w:r>
          </w:p>
        </w:tc>
      </w:tr>
      <w:tr>
        <w:tc>
          <w:tcPr>
            <w:tcW w:type="dxa" w:w="34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Oficial de Datos Personales (ODP)</w:t>
            </w:r>
          </w:p>
        </w:tc>
        <w:tc>
          <w:tcPr>
            <w:tcW w:type="dxa" w:w="56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No exigible: no hay datos sensibles ni monitoreo sistemático a gran escala (dictamen)</w:t>
            </w:r>
          </w:p>
        </w:tc>
      </w:tr>
    </w:tbl>
    <w:p>
      <w:pPr>
        <w:spacing w:after="100"/>
      </w:pPr>
    </w:p>
    <w:p>
      <w:pPr>
        <w:pStyle w:val="Heading1"/>
        <w:pageBreakBefore/>
      </w:pPr>
      <w:bookmarkStart w:name="_Toc8" w:id="8"/>
      <w:r>
        <w:t xml:space="preserve">5. Plazos de conservación de datos (dictamen punto 4)</w:t>
      </w:r>
      <w:bookmarkEnd w:id="8"/>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E8F5E9" w:val="clear"/>
          </w:tcPr>
          <w:p>
            <w:pPr>
              <w:spacing w:after="0"/>
            </w:pPr>
            <w:r>
              <w:rPr>
                <w:b/>
                <w:bCs/>
                <w:color w:val="1B5E20"/>
                <w:sz w:val="20"/>
                <w:szCs w:val="20"/>
              </w:rPr>
              <w:t xml:space="preserve">RESUELTO POR DICTAMEN: </w:t>
            </w:r>
            <w:r>
              <w:rPr>
                <w:sz w:val="20"/>
                <w:szCs w:val="20"/>
              </w:rPr>
              <w:t xml:space="preserve">Los 10 plazos pendientes fueron definidos por el dictamen y publicados en la política §7. Se eliminó toda conservación indefinida (incluida la auditoría del panel: 2 años).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4200"/>
        <w:gridCol w:w="4826"/>
      </w:tblGrid>
      <w:tr>
        <w:trPr>
          <w:tblHeader/>
        </w:trPr>
        <w:tc>
          <w:tcPr>
            <w:tcW w:type="dxa" w:w="4200"/>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Dato / finalidad</w:t>
            </w:r>
          </w:p>
        </w:tc>
        <w:tc>
          <w:tcPr>
            <w:tcW w:type="dxa" w:w="4826"/>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Plazo</w:t>
            </w:r>
          </w:p>
        </w:tc>
      </w:tr>
      <w:tr>
        <w:tc>
          <w:tcPr>
            <w:tcW w:type="dxa" w:w="42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Consultas y cotizaciones sin compra</w:t>
            </w:r>
          </w:p>
        </w:tc>
        <w:tc>
          <w:tcPr>
            <w:tcW w:type="dxa" w:w="4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2 años desde el último contacto o hasta culminar la venta total del proyecto, lo que ocurra primero</w:t>
            </w:r>
          </w:p>
        </w:tc>
      </w:tr>
      <w:tr>
        <w:tc>
          <w:tcPr>
            <w:tcW w:type="dxa" w:w="42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Solicitudes de reserva</w:t>
            </w:r>
          </w:p>
        </w:tc>
        <w:tc>
          <w:tcPr>
            <w:tcW w:type="dxa" w:w="4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1 año si no se formaliza; 10 años formalizada la separación o compraventa (Art. 2001 CC y normas tributarias)</w:t>
            </w:r>
          </w:p>
        </w:tc>
      </w:tr>
      <w:tr>
        <w:tc>
          <w:tcPr>
            <w:tcW w:type="dxa" w:w="42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Promociones</w:t>
            </w:r>
          </w:p>
        </w:tc>
        <w:tc>
          <w:tcPr>
            <w:tcW w:type="dxa" w:w="4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Hasta revocación o máximo 3 años desde la última interacción comercial</w:t>
            </w:r>
          </w:p>
        </w:tc>
      </w:tr>
      <w:tr>
        <w:tc>
          <w:tcPr>
            <w:tcW w:type="dxa" w:w="42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Evidencias de consentimiento y revocación</w:t>
            </w:r>
          </w:p>
        </w:tc>
        <w:tc>
          <w:tcPr>
            <w:tcW w:type="dxa" w:w="4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4 años tras finalizar el tratamiento o revocar (prescripción administrativa, TUO Ley N° 27444)</w:t>
            </w:r>
          </w:p>
        </w:tc>
      </w:tr>
      <w:tr>
        <w:tc>
          <w:tcPr>
            <w:tcW w:type="dxa" w:w="42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Hojas del Libro de Reclamaciones y respuestas</w:t>
            </w:r>
          </w:p>
        </w:tc>
        <w:tc>
          <w:tcPr>
            <w:tcW w:type="dxa" w:w="4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4 años desde la interposición (excede el mínimo de 2 años del D.S. N° 011-2011-PCM)</w:t>
            </w:r>
          </w:p>
        </w:tc>
      </w:tr>
      <w:tr>
        <w:tc>
          <w:tcPr>
            <w:tcW w:type="dxa" w:w="42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Google Analytics 4</w:t>
            </w:r>
          </w:p>
        </w:tc>
        <w:tc>
          <w:tcPr>
            <w:tcW w:type="dxa" w:w="4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14 meses o hasta revocar el permiso de cookies</w:t>
            </w:r>
          </w:p>
        </w:tc>
      </w:tr>
      <w:tr>
        <w:tc>
          <w:tcPr>
            <w:tcW w:type="dxa" w:w="42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Meta Pixel</w:t>
            </w:r>
          </w:p>
        </w:tc>
        <w:tc>
          <w:tcPr>
            <w:tcW w:type="dxa" w:w="4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90 días en cookie _fbp; hasta 180 días en plataforma; o hasta revocar</w:t>
            </w:r>
          </w:p>
        </w:tc>
      </w:tr>
      <w:tr>
        <w:tc>
          <w:tcPr>
            <w:tcW w:type="dxa" w:w="42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Registros técnicos de prevención de abuso</w:t>
            </w:r>
          </w:p>
        </w:tc>
        <w:tc>
          <w:tcPr>
            <w:tcW w:type="dxa" w:w="4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6 meses desde el evento</w:t>
            </w:r>
          </w:p>
        </w:tc>
      </w:tr>
      <w:tr>
        <w:tc>
          <w:tcPr>
            <w:tcW w:type="dxa" w:w="42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Auditoría del panel</w:t>
            </w:r>
          </w:p>
        </w:tc>
        <w:tc>
          <w:tcPr>
            <w:tcW w:type="dxa" w:w="4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2 años desde cada evento</w:t>
            </w:r>
          </w:p>
        </w:tc>
      </w:tr>
      <w:tr>
        <w:tc>
          <w:tcPr>
            <w:tcW w:type="dxa" w:w="42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Sesiones del panel</w:t>
            </w:r>
          </w:p>
        </w:tc>
        <w:tc>
          <w:tcPr>
            <w:tcW w:type="dxa" w:w="48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8 horas</w:t>
            </w:r>
          </w:p>
        </w:tc>
      </w:tr>
      <w:tr>
        <w:tc>
          <w:tcPr>
            <w:tcW w:type="dxa" w:w="42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Preferencias de cookies (localStorage)</w:t>
            </w:r>
          </w:p>
        </w:tc>
        <w:tc>
          <w:tcPr>
            <w:tcW w:type="dxa" w:w="48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12 meses; luego se solicita nuevamente (implementado en código)</w:t>
            </w:r>
          </w:p>
        </w:tc>
      </w:tr>
    </w:tbl>
    <w:p>
      <w:pPr>
        <w:spacing w:after="100"/>
      </w:pPr>
    </w:p>
    <w:p>
      <w:pPr>
        <w:pStyle w:val="Heading1"/>
        <w:pageBreakBefore/>
      </w:pPr>
      <w:bookmarkStart w:name="_Toc9" w:id="9"/>
      <w:r>
        <w:t xml:space="preserve">6. Transferencias internacionales y garantías (dictamen punto 5)</w:t>
      </w:r>
      <w:bookmarkEnd w:id="9"/>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E8F5E9" w:val="clear"/>
          </w:tcPr>
          <w:p>
            <w:pPr>
              <w:spacing w:after="0"/>
            </w:pPr>
            <w:r>
              <w:rPr>
                <w:b/>
                <w:bCs/>
                <w:color w:val="1B5E20"/>
                <w:sz w:val="20"/>
                <w:szCs w:val="20"/>
              </w:rPr>
              <w:t xml:space="preserve">RESUELTO POR DICTAMEN: </w:t>
            </w:r>
            <w:r>
              <w:rPr>
                <w:sz w:val="20"/>
                <w:szCs w:val="20"/>
              </w:rPr>
              <w:t xml:space="preserve">Texto de garantías publicado en la política §6 al amparo del Art. 15 de la Ley N° 29733: DPA y Cláusulas Contractuales Tipo con estándares ISO/IEC 27001 y SOC 2 Tipo II. Evidencia archivada en docs/dpa/.</w:t>
            </w:r>
          </w:p>
        </w:tc>
      </w:tr>
    </w:tbl>
    <w:p>
      <w:pPr>
        <w:pStyle w:val="ListParagraph"/>
        <w:numPr>
          <w:ilvl w:val="0"/>
          <w:numId w:val="2"/>
        </w:numPr>
        <w:spacing w:after="80" w:line="300"/>
      </w:pPr>
      <w:r>
        <w:rPr>
          <w:b/>
          <w:bCs/>
          <w:sz w:val="22"/>
          <w:szCs w:val="22"/>
        </w:rPr>
        <w:t xml:space="preserve">Declarados en MOD-2026-2174 (EE. UU.): </w:t>
      </w:r>
      <w:r>
        <w:rPr>
          <w:sz w:val="22"/>
          <w:szCs w:val="22"/>
        </w:rPr>
        <w:t xml:space="preserve">Google LLC, Meta Platforms Inc., Resend Inc., Cloudflare Inc.</w:t>
      </w:r>
    </w:p>
    <w:p>
      <w:pPr>
        <w:pStyle w:val="ListParagraph"/>
        <w:numPr>
          <w:ilvl w:val="0"/>
          <w:numId w:val="2"/>
        </w:numPr>
        <w:spacing w:after="80" w:line="300"/>
      </w:pPr>
      <w:r>
        <w:rPr>
          <w:b/>
          <w:bCs/>
          <w:sz w:val="22"/>
          <w:szCs w:val="22"/>
        </w:rPr>
        <w:t xml:space="preserve">Donweb (Dattatec.com SRL): </w:t>
      </w:r>
      <w:r>
        <w:rPr>
          <w:sz w:val="22"/>
          <w:szCs w:val="22"/>
        </w:rPr>
        <w:t xml:space="preserve">mencionado en la política como encargado de alojamiento del VPS y la base de datos principal.</w:t>
      </w:r>
    </w:p>
    <w:p>
      <w:pPr>
        <w:pStyle w:val="ListParagraph"/>
        <w:numPr>
          <w:ilvl w:val="0"/>
          <w:numId w:val="2"/>
        </w:numPr>
        <w:spacing w:after="80" w:line="300"/>
      </w:pPr>
      <w:r>
        <w:rPr>
          <w:b/>
          <w:bCs/>
          <w:sz w:val="22"/>
          <w:szCs w:val="22"/>
        </w:rPr>
        <w:t xml:space="preserve">WhatsApp: </w:t>
      </w:r>
      <w:r>
        <w:rPr>
          <w:sz w:val="22"/>
          <w:szCs w:val="22"/>
        </w:rPr>
        <w:t xml:space="preserve">cubierto por Meta Platforms, Inc. (WhatsApp LLC) ya declarada; sin trámite registral adicional, precisado en la política.</w:t>
      </w:r>
    </w:p>
    <w:p>
      <w:pPr>
        <w:pStyle w:val="ListParagraph"/>
        <w:numPr>
          <w:ilvl w:val="0"/>
          <w:numId w:val="2"/>
        </w:numPr>
        <w:spacing w:after="80" w:line="300"/>
      </w:pPr>
      <w:r>
        <w:rPr>
          <w:b/>
          <w:bCs/>
          <w:sz w:val="22"/>
          <w:szCs w:val="22"/>
        </w:rPr>
        <w:t xml:space="preserve">OpenStreetMap: </w:t>
      </w:r>
      <w:r>
        <w:rPr>
          <w:sz w:val="22"/>
          <w:szCs w:val="22"/>
        </w:rPr>
        <w:t xml:space="preserve">carga de teselas gráficas; recibe solo la IP técnica; sin trámite registral, informado en la política.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FFF7E0" w:val="clear"/>
          </w:tcPr>
          <w:p>
            <w:pPr>
              <w:spacing w:after="0"/>
            </w:pPr>
            <w:r>
              <w:rPr>
                <w:b/>
                <w:bCs/>
                <w:color w:val="8A6D1F"/>
                <w:sz w:val="20"/>
                <w:szCs w:val="20"/>
              </w:rPr>
              <w:t xml:space="preserve">PENDIENTE: </w:t>
            </w:r>
            <w:r>
              <w:rPr>
                <w:sz w:val="20"/>
                <w:szCs w:val="20"/>
              </w:rPr>
              <w:t xml:space="preserve">Confirmar con Donweb la ubicación física del centro de datos (¿Argentina o EE. UU.?). De estar en EE. UU., evaluar con el abogado una nueva modificación registral declarando a Dattatec.com SRL. Archivar el contrato VPS en docs/dpa/.</w:t>
            </w:r>
          </w:p>
        </w:tc>
      </w:tr>
    </w:tbl>
    <w:p>
      <w:pPr>
        <w:spacing w:after="100"/>
      </w:pPr>
    </w:p>
    <w:p>
      <w:pPr>
        <w:pStyle w:val="Heading1"/>
        <w:pageBreakBefore/>
      </w:pPr>
      <w:bookmarkStart w:name="_Toc10" w:id="10"/>
      <w:r>
        <w:t xml:space="preserve">7. Inventario de cookies y consentimiento (dictamen punto 6)</w:t>
      </w:r>
      <w:bookmarkEnd w:id="10"/>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E8F5E9" w:val="clear"/>
          </w:tcPr>
          <w:p>
            <w:pPr>
              <w:spacing w:after="0"/>
            </w:pPr>
            <w:r>
              <w:rPr>
                <w:b/>
                <w:bCs/>
                <w:color w:val="1B5E20"/>
                <w:sz w:val="20"/>
                <w:szCs w:val="20"/>
              </w:rPr>
              <w:t xml:space="preserve">RESUELTO POR DICTAMEN: </w:t>
            </w:r>
            <w:r>
              <w:rPr>
                <w:sz w:val="20"/>
                <w:szCs w:val="20"/>
              </w:rPr>
              <w:t xml:space="preserve">Inventario formal publicado en la política §10, cotejado con la implementación real. Se implementó además la expiración de 12 meses del consentimiento de cookies para que la tabla publicada sea exacta.</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800"/>
        <w:gridCol w:w="2400"/>
        <w:gridCol w:w="2200"/>
        <w:gridCol w:w="1626"/>
      </w:tblGrid>
      <w:tr>
        <w:trPr>
          <w:tblHeader/>
        </w:trPr>
        <w:tc>
          <w:tcPr>
            <w:tcW w:type="dxa" w:w="2800"/>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Nombre</w:t>
            </w:r>
          </w:p>
        </w:tc>
        <w:tc>
          <w:tcPr>
            <w:tcW w:type="dxa" w:w="2400"/>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Proveedor</w:t>
            </w:r>
          </w:p>
        </w:tc>
        <w:tc>
          <w:tcPr>
            <w:tcW w:type="dxa" w:w="2200"/>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Categoría</w:t>
            </w:r>
          </w:p>
        </w:tc>
        <w:tc>
          <w:tcPr>
            <w:tcW w:type="dxa" w:w="1626"/>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Duración</w:t>
            </w:r>
          </w:p>
        </w:tc>
      </w:tr>
      <w:tr>
        <w:tc>
          <w:tcPr>
            <w:tcW w:type="dxa" w:w="28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cookie-consent (localStorage)</w:t>
            </w:r>
          </w:p>
        </w:tc>
        <w:tc>
          <w:tcPr>
            <w:tcW w:type="dxa" w:w="24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Holding Reynaga</w:t>
            </w:r>
          </w:p>
        </w:tc>
        <w:tc>
          <w:tcPr>
            <w:tcW w:type="dxa" w:w="22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Necesaria</w:t>
            </w:r>
          </w:p>
        </w:tc>
        <w:tc>
          <w:tcPr>
            <w:tcW w:type="dxa" w:w="16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12 meses</w:t>
            </w:r>
          </w:p>
        </w:tc>
      </w:tr>
      <w:tr>
        <w:tc>
          <w:tcPr>
            <w:tcW w:type="dxa" w:w="28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Token Cloudflare Turnstile</w:t>
            </w:r>
          </w:p>
        </w:tc>
        <w:tc>
          <w:tcPr>
            <w:tcW w:type="dxa" w:w="2400"/>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Cloudflare, Inc.</w:t>
            </w:r>
          </w:p>
        </w:tc>
        <w:tc>
          <w:tcPr>
            <w:tcW w:type="dxa" w:w="2200"/>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Necesaria (seguridad)</w:t>
            </w:r>
          </w:p>
        </w:tc>
        <w:tc>
          <w:tcPr>
            <w:tcW w:type="dxa" w:w="16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Efímero durante el envío</w:t>
            </w:r>
          </w:p>
        </w:tc>
      </w:tr>
      <w:tr>
        <w:tc>
          <w:tcPr>
            <w:tcW w:type="dxa" w:w="28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_ga</w:t>
            </w:r>
          </w:p>
        </w:tc>
        <w:tc>
          <w:tcPr>
            <w:tcW w:type="dxa" w:w="24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Google LLC (GA4)</w:t>
            </w:r>
          </w:p>
        </w:tc>
        <w:tc>
          <w:tcPr>
            <w:tcW w:type="dxa" w:w="22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Analítica</w:t>
            </w:r>
          </w:p>
        </w:tc>
        <w:tc>
          <w:tcPr>
            <w:tcW w:type="dxa" w:w="16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2 años</w:t>
            </w:r>
          </w:p>
        </w:tc>
      </w:tr>
      <w:tr>
        <w:tc>
          <w:tcPr>
            <w:tcW w:type="dxa" w:w="28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_ga_&lt;ID&gt;</w:t>
            </w:r>
          </w:p>
        </w:tc>
        <w:tc>
          <w:tcPr>
            <w:tcW w:type="dxa" w:w="2400"/>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Google LLC (GA4)</w:t>
            </w:r>
          </w:p>
        </w:tc>
        <w:tc>
          <w:tcPr>
            <w:tcW w:type="dxa" w:w="2200"/>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Analítica</w:t>
            </w:r>
          </w:p>
        </w:tc>
        <w:tc>
          <w:tcPr>
            <w:tcW w:type="dxa" w:w="16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2 años</w:t>
            </w:r>
          </w:p>
        </w:tc>
      </w:tr>
      <w:tr>
        <w:tc>
          <w:tcPr>
            <w:tcW w:type="dxa" w:w="2800"/>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_fbp</w:t>
            </w:r>
          </w:p>
        </w:tc>
        <w:tc>
          <w:tcPr>
            <w:tcW w:type="dxa" w:w="24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Meta Platforms, Inc.</w:t>
            </w:r>
          </w:p>
        </w:tc>
        <w:tc>
          <w:tcPr>
            <w:tcW w:type="dxa" w:w="22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Marketing</w:t>
            </w:r>
          </w:p>
        </w:tc>
        <w:tc>
          <w:tcPr>
            <w:tcW w:type="dxa" w:w="1626"/>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90 días</w:t>
            </w:r>
          </w:p>
        </w:tc>
      </w:tr>
      <w:tr>
        <w:tc>
          <w:tcPr>
            <w:tcW w:type="dxa" w:w="2800"/>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_fbc</w:t>
            </w:r>
          </w:p>
        </w:tc>
        <w:tc>
          <w:tcPr>
            <w:tcW w:type="dxa" w:w="2400"/>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Meta Platforms, Inc.</w:t>
            </w:r>
          </w:p>
        </w:tc>
        <w:tc>
          <w:tcPr>
            <w:tcW w:type="dxa" w:w="2200"/>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Marketing</w:t>
            </w:r>
          </w:p>
        </w:tc>
        <w:tc>
          <w:tcPr>
            <w:tcW w:type="dxa" w:w="1626"/>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90 días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FFF7E0" w:val="clear"/>
          </w:tcPr>
          <w:p>
            <w:pPr>
              <w:spacing w:after="0"/>
            </w:pPr>
            <w:r>
              <w:rPr>
                <w:b/>
                <w:bCs/>
                <w:color w:val="8A6D1F"/>
                <w:sz w:val="20"/>
                <w:szCs w:val="20"/>
              </w:rPr>
              <w:t xml:space="preserve">PENDIENTE: </w:t>
            </w:r>
            <w:r>
              <w:rPr>
                <w:sz w:val="20"/>
                <w:szCs w:val="20"/>
              </w:rPr>
              <w:t xml:space="preserve">Configurar en Google Analytics 4 (admin de la propiedad): retención de datos → 14 meses, para que el plazo publicado sea real.</w:t>
            </w:r>
          </w:p>
        </w:tc>
      </w:tr>
    </w:tbl>
    <w:p>
      <w:pPr>
        <w:spacing w:after="100"/>
      </w:pPr>
    </w:p>
    <w:p>
      <w:pPr>
        <w:pStyle w:val="Heading1"/>
        <w:pageBreakBefore/>
      </w:pPr>
      <w:bookmarkStart w:name="_Toc11" w:id="11"/>
      <w:r>
        <w:t xml:space="preserve">8. Datos personales de menores (dictamen punto 7)</w:t>
      </w:r>
      <w:bookmarkEnd w:id="11"/>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E8F5E9" w:val="clear"/>
          </w:tcPr>
          <w:p>
            <w:pPr>
              <w:spacing w:after="0"/>
            </w:pPr>
            <w:r>
              <w:rPr>
                <w:b/>
                <w:bCs/>
                <w:color w:val="1B5E20"/>
                <w:sz w:val="20"/>
                <w:szCs w:val="20"/>
              </w:rPr>
              <w:t xml:space="preserve">RESUELTO POR DICTAMEN: </w:t>
            </w:r>
            <w:r>
              <w:rPr>
                <w:sz w:val="20"/>
                <w:szCs w:val="20"/>
              </w:rPr>
              <w:t xml:space="preserve">Cláusula publicada en la política §3: el sitio está dirigido a mayores de 18 años; no se recopilan intencionalmente datos de menores; ante detección o aviso de los padres, eliminación inmediata e irreversible.</w:t>
            </w:r>
          </w:p>
        </w:tc>
      </w:tr>
    </w:tbl>
    <w:p>
      <w:pPr>
        <w:spacing w:after="100"/>
      </w:pPr>
    </w:p>
    <w:p>
      <w:pPr>
        <w:pStyle w:val="Heading1"/>
        <w:pageBreakBefore/>
      </w:pPr>
      <w:bookmarkStart w:name="_Toc12" w:id="12"/>
      <w:r>
        <w:t xml:space="preserve">9. Protección al consumidor (dictamen punto 8)</w:t>
      </w:r>
      <w:bookmarkEnd w:id="12"/>
    </w:p>
    <w:p>
      <w:pPr>
        <w:pStyle w:val="Heading2"/>
      </w:pPr>
      <w:bookmarkStart w:name="_Toc13" w:id="13"/>
      <w:r>
        <w:t xml:space="preserve">9.1 Separación y devolución (riesgo corregido)</w:t>
      </w:r>
      <w:bookmarkEnd w:id="13"/>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E8F5E9" w:val="clear"/>
          </w:tcPr>
          <w:p>
            <w:pPr>
              <w:spacing w:after="0"/>
            </w:pPr>
            <w:r>
              <w:rPr>
                <w:b/>
                <w:bCs/>
                <w:color w:val="1B5E20"/>
                <w:sz w:val="20"/>
                <w:szCs w:val="20"/>
              </w:rPr>
              <w:t xml:space="preserve">RESUELTO POR DICTAMEN: </w:t>
            </w:r>
            <w:r>
              <w:rPr>
                <w:sz w:val="20"/>
                <w:szCs w:val="20"/>
              </w:rPr>
              <w:t xml:space="preserve">El dictamen corrigió el riesgo INDECOPI de remitir la devolución a un contrato notarial aún no suscrito. Texto A implementado: imputación íntegra a la cuota inicial; devolución del 100% en 10 días hábiles si el banco rechaza el financiamiento por causas no imputables antes de la minuta; desistimiento según la Constancia de Separación; post-escritura según el contrato.</w:t>
            </w:r>
          </w:p>
        </w:tc>
      </w:tr>
    </w:tbl>
    <w:p>
      <w:pPr>
        <w:pStyle w:val="Heading2"/>
      </w:pPr>
      <w:bookmarkStart w:name="_Toc14" w:id="14"/>
      <w:r>
        <w:t xml:space="preserve">9.2 Precios e IGV</w:t>
      </w:r>
      <w:bookmarkEnd w:id="14"/>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E8F5E9" w:val="clear"/>
          </w:tcPr>
          <w:p>
            <w:pPr>
              <w:spacing w:after="0"/>
            </w:pPr>
            <w:r>
              <w:rPr>
                <w:b/>
                <w:bCs/>
                <w:color w:val="1B5E20"/>
                <w:sz w:val="20"/>
                <w:szCs w:val="20"/>
              </w:rPr>
              <w:t xml:space="preserve">RESUELTO POR DICTAMEN: </w:t>
            </w:r>
            <w:r>
              <w:rPr>
                <w:sz w:val="20"/>
                <w:szCs w:val="20"/>
              </w:rPr>
              <w:t xml:space="preserve">Confirmado por el titular: los precios publicados (S/ 163,332.50–361,741.00) son el precio total al contado con IGV incluido; no incluyen gastos notariales ni registrales. Texto B insertado en términos, pricing.md, FAQ, API, WebMCP y agent-content.</w:t>
            </w:r>
          </w:p>
        </w:tc>
      </w:tr>
    </w:tbl>
    <w:p>
      <w:pPr>
        <w:pStyle w:val="Heading2"/>
      </w:pPr>
      <w:bookmarkStart w:name="_Toc15" w:id="15"/>
      <w:r>
        <w:t xml:space="preserve">9.3 Bonos de preventa (D. Leg. N° 1044)</w:t>
      </w:r>
      <w:bookmarkEnd w:id="15"/>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E8F5E9" w:val="clear"/>
          </w:tcPr>
          <w:p>
            <w:pPr>
              <w:spacing w:after="0"/>
            </w:pPr>
            <w:r>
              <w:rPr>
                <w:b/>
                <w:bCs/>
                <w:color w:val="1B5E20"/>
                <w:sz w:val="20"/>
                <w:szCs w:val="20"/>
              </w:rPr>
              <w:t xml:space="preserve">RESUELTO POR DICTAMEN: </w:t>
            </w:r>
            <w:r>
              <w:rPr>
                <w:sz w:val="20"/>
                <w:szCs w:val="20"/>
              </w:rPr>
              <w:t xml:space="preserve">Condiciones publicadas: S/ 24,900–47,850 según tipología; vigencia 01/10/2026–31/12/2026; stock promocional mínimo de 5 unidades; se descuentan del precio de lista previa firma de la Constancia; no canjeables por efectivo ni acumulables.</w:t>
            </w:r>
          </w:p>
        </w:tc>
      </w:tr>
    </w:tbl>
    <w:p>
      <w:pPr>
        <w:pStyle w:val="Heading2"/>
      </w:pPr>
      <w:bookmarkStart w:name="_Toc16" w:id="16"/>
      <w:r>
        <w:t xml:space="preserve">9.4 Art. 77 de la Ley N° 29571</w:t>
      </w:r>
      <w:bookmarkEnd w:id="16"/>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FFF7E0" w:val="clear"/>
          </w:tcPr>
          <w:p>
            <w:pPr>
              <w:spacing w:after="0"/>
            </w:pPr>
            <w:r>
              <w:rPr>
                <w:b/>
                <w:bCs/>
                <w:color w:val="8A6D1F"/>
                <w:sz w:val="20"/>
                <w:szCs w:val="20"/>
              </w:rPr>
              <w:t xml:space="preserve">PENDIENTE: </w:t>
            </w:r>
            <w:r>
              <w:rPr>
                <w:sz w:val="20"/>
                <w:szCs w:val="20"/>
              </w:rPr>
              <w:t xml:space="preserve">Bloque OMITIDO por decisión del titular hasta contar con: Partida Electrónica SUNARP del predio, N° de licencia municipal de edificación y fecha programada de entrega. Agregarlo a los Términos y Condiciones cuando existan los datos.</w:t>
            </w:r>
          </w:p>
        </w:tc>
      </w:tr>
    </w:tbl>
    <w:p>
      <w:pPr>
        <w:pStyle w:val="Heading2"/>
      </w:pPr>
      <w:bookmarkStart w:name="_Toc17" w:id="17"/>
      <w:r>
        <w:t xml:space="preserve">9.5 Constancia de Separación impresa</w:t>
      </w:r>
      <w:bookmarkEnd w:id="17"/>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026"/>
      </w:tblGrid>
      <w:tr>
        <w:tc>
          <w:tcPr>
            <w:tcW w:type="dxa" w:w="9026"/>
            <w:tcBorders>
              <w:top w:val="single" w:color="BBBBBB" w:sz="4"/>
              <w:left w:val="single" w:color="BBBBBB" w:sz="4"/>
              <w:bottom w:val="single" w:color="BBBBBB" w:sz="4"/>
              <w:right w:val="single" w:color="BBBBBB" w:sz="4"/>
            </w:tcBorders>
            <w:shd w:fill="FFF7E0" w:val="clear"/>
          </w:tcPr>
          <w:p>
            <w:pPr>
              <w:spacing w:after="0"/>
            </w:pPr>
            <w:r>
              <w:rPr>
                <w:b/>
                <w:bCs/>
                <w:color w:val="8A6D1F"/>
                <w:sz w:val="20"/>
                <w:szCs w:val="20"/>
              </w:rPr>
              <w:t xml:space="preserve">PENDIENTE: </w:t>
            </w:r>
            <w:r>
              <w:rPr>
                <w:sz w:val="20"/>
                <w:szCs w:val="20"/>
              </w:rPr>
              <w:t xml:space="preserve">La plantilla física que firma el cliente debe incorporar las condiciones de resolución/devolución del texto A (imputación, devolución bancaria 100%/10 días hábiles, reglas de desistimiento), pues la política remite a ella.</w:t>
            </w:r>
          </w:p>
        </w:tc>
      </w:tr>
    </w:tbl>
    <w:p>
      <w:pPr>
        <w:spacing w:after="100"/>
      </w:pPr>
    </w:p>
    <w:p>
      <w:pPr>
        <w:pStyle w:val="Heading1"/>
        <w:pageBreakBefore/>
      </w:pPr>
      <w:bookmarkStart w:name="_Toc18" w:id="18"/>
      <w:r>
        <w:t xml:space="preserve">10. Seguridad técnica (sin cambios del dictamen)</w:t>
      </w:r>
      <w:bookmarkEnd w:id="18"/>
    </w:p>
    <w:p>
      <w:pPr>
        <w:pStyle w:val="ListParagraph"/>
        <w:numPr>
          <w:ilvl w:val="0"/>
          <w:numId w:val="2"/>
        </w:numPr>
        <w:spacing w:after="80" w:line="300"/>
      </w:pPr>
      <w:r>
        <w:rPr>
          <w:sz w:val="22"/>
          <w:szCs w:val="22"/>
        </w:rPr>
        <w:t xml:space="preserve">HTTPS forzado en todo el sitio; captcha Cloudflare Turnstile, honeypot, trampa temporal y límites de envío por IP e identidad.</w:t>
      </w:r>
    </w:p>
    <w:p>
      <w:pPr>
        <w:pStyle w:val="ListParagraph"/>
        <w:numPr>
          <w:ilvl w:val="0"/>
          <w:numId w:val="2"/>
        </w:numPr>
        <w:spacing w:after="80" w:line="300"/>
      </w:pPr>
      <w:r>
        <w:rPr>
          <w:sz w:val="22"/>
          <w:szCs w:val="22"/>
        </w:rPr>
        <w:t xml:space="preserve">Panel de administración: usuarios individuales con hash scrypt, sesión 8 horas, 3 roles con permisos aplicados en el servidor, auditoría de acciones sensibles con IP.</w:t>
      </w:r>
    </w:p>
    <w:p>
      <w:pPr>
        <w:pStyle w:val="ListParagraph"/>
        <w:numPr>
          <w:ilvl w:val="0"/>
          <w:numId w:val="2"/>
        </w:numPr>
        <w:spacing w:after="80" w:line="300"/>
      </w:pPr>
      <w:r>
        <w:rPr>
          <w:sz w:val="22"/>
          <w:szCs w:val="22"/>
        </w:rPr>
        <w:t xml:space="preserve">Sin datos personales en URLs; analizador de visitas configurado para ignorar cadenas de consulta.</w:t>
      </w:r>
    </w:p>
    <w:p>
      <w:pPr>
        <w:pStyle w:val="ListParagraph"/>
        <w:numPr>
          <w:ilvl w:val="0"/>
          <w:numId w:val="2"/>
        </w:numPr>
        <w:spacing w:after="80" w:line="300"/>
      </w:pPr>
      <w:r>
        <w:rPr>
          <w:sz w:val="22"/>
          <w:szCs w:val="22"/>
        </w:rPr>
        <w:t xml:space="preserve">Respaldo: plan del VPS (Donweb), espejo en Google Sheets y repositorio del código.</w:t>
      </w:r>
    </w:p>
    <w:p>
      <w:pPr>
        <w:spacing w:after="100"/>
      </w:pPr>
    </w:p>
    <w:p>
      <w:pPr>
        <w:pStyle w:val="Heading1"/>
        <w:pageBreakBefore/>
      </w:pPr>
      <w:bookmarkStart w:name="_Toc19" w:id="19"/>
      <w:r>
        <w:t xml:space="preserve">11. Puntos pendientes (consolidado v2.0)</w:t>
      </w:r>
      <w:bookmarkEnd w:id="19"/>
    </w:p>
    <w:p>
      <w:pPr>
        <w:pStyle w:val="ListParagraph"/>
        <w:numPr>
          <w:ilvl w:val="0"/>
          <w:numId w:val="3"/>
        </w:numPr>
        <w:spacing w:after="100" w:line="300"/>
      </w:pPr>
      <w:r>
        <w:rPr>
          <w:sz w:val="22"/>
          <w:szCs w:val="22"/>
        </w:rPr>
        <w:t xml:space="preserve">RNPDP: inscribir el banco QUEJAS Y RECLAMOS (titular, portal SIPDP) → insertar código al llegar la constancia.</w:t>
      </w:r>
    </w:p>
    <w:p>
      <w:pPr>
        <w:pStyle w:val="ListParagraph"/>
        <w:numPr>
          <w:ilvl w:val="0"/>
          <w:numId w:val="3"/>
        </w:numPr>
        <w:spacing w:after="100" w:line="300"/>
      </w:pPr>
      <w:r>
        <w:rPr>
          <w:sz w:val="22"/>
          <w:szCs w:val="22"/>
        </w:rPr>
        <w:t xml:space="preserve">Donweb: confirmar ubicación física del centro de datos; archivar contrato VPS en docs/dpa/; evaluar nueva modificación registral si está en EE. UU.</w:t>
      </w:r>
    </w:p>
    <w:p>
      <w:pPr>
        <w:pStyle w:val="ListParagraph"/>
        <w:numPr>
          <w:ilvl w:val="0"/>
          <w:numId w:val="3"/>
        </w:numPr>
        <w:spacing w:after="100" w:line="300"/>
      </w:pPr>
      <w:r>
        <w:rPr>
          <w:sz w:val="22"/>
          <w:szCs w:val="22"/>
        </w:rPr>
        <w:t xml:space="preserve">GA4: configurar retención de datos en 14 meses (admin de la propiedad).</w:t>
      </w:r>
    </w:p>
    <w:p>
      <w:pPr>
        <w:pStyle w:val="ListParagraph"/>
        <w:numPr>
          <w:ilvl w:val="0"/>
          <w:numId w:val="3"/>
        </w:numPr>
        <w:spacing w:after="100" w:line="300"/>
      </w:pPr>
      <w:r>
        <w:rPr>
          <w:sz w:val="22"/>
          <w:szCs w:val="22"/>
        </w:rPr>
        <w:t xml:space="preserve">Art. 77: obtener Partida SUNARP, licencia municipal y fecha de entrega; publicar el bloque en Términos y Condiciones.</w:t>
      </w:r>
    </w:p>
    <w:p>
      <w:pPr>
        <w:pStyle w:val="ListParagraph"/>
        <w:numPr>
          <w:ilvl w:val="0"/>
          <w:numId w:val="3"/>
        </w:numPr>
        <w:spacing w:after="100" w:line="300"/>
      </w:pPr>
      <w:r>
        <w:rPr>
          <w:sz w:val="22"/>
          <w:szCs w:val="22"/>
        </w:rPr>
        <w:t xml:space="preserve">Constancia de Separación impresa: actualizar plantilla con las reglas de devolución del dictamen.</w:t>
      </w:r>
    </w:p>
    <w:p>
      <w:pPr>
        <w:pStyle w:val="ListParagraph"/>
        <w:numPr>
          <w:ilvl w:val="0"/>
          <w:numId w:val="3"/>
        </w:numPr>
        <w:spacing w:after="100" w:line="300"/>
      </w:pPr>
      <w:r>
        <w:rPr>
          <w:sz w:val="22"/>
          <w:szCs w:val="22"/>
        </w:rPr>
        <w:t xml:space="preserve">Libro físico de respaldo y aviso Anexo II impresos: confirmar disponibilidad en la sala de ventas (marcador en /terminos-y-condiciones §5).</w:t>
      </w:r>
    </w:p>
    <w:p>
      <w:pPr>
        <w:pStyle w:val="ListParagraph"/>
        <w:numPr>
          <w:ilvl w:val="0"/>
          <w:numId w:val="3"/>
        </w:numPr>
        <w:spacing w:after="100" w:line="300"/>
      </w:pPr>
      <w:r>
        <w:rPr>
          <w:sz w:val="22"/>
          <w:szCs w:val="22"/>
        </w:rPr>
        <w:t xml:space="preserve">Marcadores restantes en /terminos-y-condiciones (renders/ambientación, acabados, propiedad intelectual, jurisdicción): temas no abordados por el dictamen; resolver en la segunda ronda.</w:t>
      </w:r>
    </w:p>
    <w:p>
      <w:pPr>
        <w:pStyle w:val="ListParagraph"/>
        <w:numPr>
          <w:ilvl w:val="0"/>
          <w:numId w:val="3"/>
        </w:numPr>
        <w:spacing w:after="100" w:line="300"/>
      </w:pPr>
      <w:r>
        <w:rPr>
          <w:sz w:val="22"/>
          <w:szCs w:val="22"/>
        </w:rPr>
        <w:t xml:space="preserve">Bonos: vencimiento publicado 31/12/2026 — decidir renovación, cambio o retiro antes de esa fecha.</w:t>
      </w:r>
    </w:p>
    <w:p>
      <w:pPr>
        <w:spacing w:after="100"/>
      </w:pPr>
    </w:p>
    <w:p>
      <w:pPr>
        <w:pStyle w:val="Heading1"/>
        <w:pageBreakBefore/>
      </w:pPr>
      <w:bookmarkStart w:name="_Toc20" w:id="20"/>
      <w:r>
        <w:t xml:space="preserve">12. Documentación de referencia</w:t>
      </w:r>
      <w:bookmarkEnd w:id="20"/>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4026"/>
        <w:gridCol w:w="5000"/>
      </w:tblGrid>
      <w:tr>
        <w:trPr>
          <w:tblHeader/>
        </w:trPr>
        <w:tc>
          <w:tcPr>
            <w:tcW w:type="dxa" w:w="4026"/>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Documento</w:t>
            </w:r>
          </w:p>
        </w:tc>
        <w:tc>
          <w:tcPr>
            <w:tcW w:type="dxa" w:w="5000"/>
            <w:tcBorders>
              <w:top w:val="single" w:color="BBBBBB" w:sz="4"/>
              <w:left w:val="single" w:color="BBBBBB" w:sz="4"/>
              <w:bottom w:val="single" w:color="BBBBBB" w:sz="4"/>
              <w:right w:val="single" w:color="BBBBBB" w:sz="4"/>
            </w:tcBorders>
            <w:shd w:fill="0A1931" w:val="clear"/>
            <w:vAlign w:val="center"/>
          </w:tcPr>
          <w:p>
            <w:pPr>
              <w:spacing w:after="30" w:line="270"/>
            </w:pPr>
            <w:r>
              <w:rPr>
                <w:b/>
                <w:bCs/>
                <w:color w:val="FFFFFF"/>
                <w:sz w:val="19"/>
                <w:szCs w:val="19"/>
              </w:rPr>
              <w:t xml:space="preserve">Ubicación</w:t>
            </w:r>
          </w:p>
        </w:tc>
      </w:tr>
      <w:tr>
        <w:tc>
          <w:tcPr>
            <w:tcW w:type="dxa" w:w="4026"/>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Constancias RNPDP (INS-2026-6247 y MOD-2026-2174, con QR)</w:t>
            </w:r>
          </w:p>
        </w:tc>
        <w:tc>
          <w:tcPr>
            <w:tcW w:type="dxa" w:w="50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docs/ (privada)</w:t>
            </w:r>
          </w:p>
        </w:tc>
      </w:tr>
      <w:tr>
        <w:tc>
          <w:tcPr>
            <w:tcW w:type="dxa" w:w="4026"/>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DPA de Google, Cloudflare, Resend y Meta (snapshots)</w:t>
            </w:r>
          </w:p>
        </w:tc>
        <w:tc>
          <w:tcPr>
            <w:tcW w:type="dxa" w:w="5000"/>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docs/dpa/</w:t>
            </w:r>
          </w:p>
        </w:tc>
      </w:tr>
      <w:tr>
        <w:tc>
          <w:tcPr>
            <w:tcW w:type="dxa" w:w="4026"/>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Política de Privacidad v2026-10-18.1 (implementada)</w:t>
            </w:r>
          </w:p>
        </w:tc>
        <w:tc>
          <w:tcPr>
            <w:tcW w:type="dxa" w:w="50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inmobiliariaholdingreynaga.com/politica-de-privacidad</w:t>
            </w:r>
          </w:p>
        </w:tc>
      </w:tr>
      <w:tr>
        <w:tc>
          <w:tcPr>
            <w:tcW w:type="dxa" w:w="4026"/>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Términos y Condiciones (precios IGV, devolución, bonos)</w:t>
            </w:r>
          </w:p>
        </w:tc>
        <w:tc>
          <w:tcPr>
            <w:tcW w:type="dxa" w:w="5000"/>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inmobiliariaholdingreynaga.com/terminos-y-condiciones</w:t>
            </w:r>
          </w:p>
        </w:tc>
      </w:tr>
      <w:tr>
        <w:tc>
          <w:tcPr>
            <w:tcW w:type="dxa" w:w="4026"/>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Libro de Reclamaciones virtual</w:t>
            </w:r>
          </w:p>
        </w:tc>
        <w:tc>
          <w:tcPr>
            <w:tcW w:type="dxa" w:w="50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inmobiliariaholdingreynaga.com/libro-de-reclamaciones</w:t>
            </w:r>
          </w:p>
        </w:tc>
      </w:tr>
      <w:tr>
        <w:tc>
          <w:tcPr>
            <w:tcW w:type="dxa" w:w="4026"/>
            <w:tcBorders>
              <w:top w:val="single" w:color="BBBBBB" w:sz="4"/>
              <w:left w:val="single" w:color="BBBBBB" w:sz="4"/>
              <w:bottom w:val="single" w:color="BBBBBB" w:sz="4"/>
              <w:right w:val="single" w:color="BBBBBB" w:sz="4"/>
            </w:tcBorders>
            <w:shd w:fill="F5F6F8" w:val="clear"/>
            <w:vAlign w:val="center"/>
          </w:tcPr>
          <w:p>
            <w:pPr>
              <w:spacing w:after="30" w:line="270"/>
            </w:pPr>
            <w:r>
              <w:rPr>
                <w:b/>
                <w:bCs/>
                <w:color w:val="000000"/>
                <w:sz w:val="19"/>
                <w:szCs w:val="19"/>
              </w:rPr>
              <w:t xml:space="preserve">Checklist de pendientes</w:t>
            </w:r>
          </w:p>
        </w:tc>
        <w:tc>
          <w:tcPr>
            <w:tcW w:type="dxa" w:w="5000"/>
            <w:tcBorders>
              <w:top w:val="single" w:color="BBBBBB" w:sz="4"/>
              <w:left w:val="single" w:color="BBBBBB" w:sz="4"/>
              <w:bottom w:val="single" w:color="BBBBBB" w:sz="4"/>
              <w:right w:val="single" w:color="BBBBBB" w:sz="4"/>
            </w:tcBorders>
            <w:shd w:fill="F5F6F8" w:val="clear"/>
            <w:vAlign w:val="center"/>
          </w:tcPr>
          <w:p>
            <w:pPr>
              <w:spacing w:after="30" w:line="270"/>
            </w:pPr>
            <w:r>
              <w:rPr>
                <w:b w:val="false"/>
                <w:bCs w:val="false"/>
                <w:color w:val="000000"/>
                <w:sz w:val="19"/>
                <w:szCs w:val="19"/>
              </w:rPr>
              <w:t xml:space="preserve">docs/pendientes-legales.md</w:t>
            </w:r>
          </w:p>
        </w:tc>
      </w:tr>
      <w:tr>
        <w:tc>
          <w:tcPr>
            <w:tcW w:type="dxa" w:w="4026"/>
            <w:tcBorders>
              <w:top w:val="single" w:color="BBBBBB" w:sz="4"/>
              <w:left w:val="single" w:color="BBBBBB" w:sz="4"/>
              <w:bottom w:val="single" w:color="BBBBBB" w:sz="4"/>
              <w:right w:val="single" w:color="BBBBBB" w:sz="4"/>
            </w:tcBorders>
            <w:vAlign w:val="center"/>
          </w:tcPr>
          <w:p>
            <w:pPr>
              <w:spacing w:after="30" w:line="270"/>
            </w:pPr>
            <w:r>
              <w:rPr>
                <w:b/>
                <w:bCs/>
                <w:color w:val="000000"/>
                <w:sz w:val="19"/>
                <w:szCs w:val="19"/>
              </w:rPr>
              <w:t xml:space="preserve">Dossier v1.0 (referencia del dictamen)</w:t>
            </w:r>
          </w:p>
        </w:tc>
        <w:tc>
          <w:tcPr>
            <w:tcW w:type="dxa" w:w="5000"/>
            <w:tcBorders>
              <w:top w:val="single" w:color="BBBBBB" w:sz="4"/>
              <w:left w:val="single" w:color="BBBBBB" w:sz="4"/>
              <w:bottom w:val="single" w:color="BBBBBB" w:sz="4"/>
              <w:right w:val="single" w:color="BBBBBB" w:sz="4"/>
            </w:tcBorders>
            <w:vAlign w:val="center"/>
          </w:tcPr>
          <w:p>
            <w:pPr>
              <w:spacing w:after="30" w:line="270"/>
            </w:pPr>
            <w:r>
              <w:rPr>
                <w:b w:val="false"/>
                <w:bCs w:val="false"/>
                <w:color w:val="000000"/>
                <w:sz w:val="19"/>
                <w:szCs w:val="19"/>
              </w:rPr>
              <w:t xml:space="preserve">docs/Dossier-Legal-Abogado-v1.0.docx</w:t>
            </w:r>
          </w:p>
        </w:tc>
      </w:tr>
    </w:tbl>
    <w:p>
      <w:pPr>
        <w:spacing w:after="100"/>
      </w:pPr>
    </w:p>
    <w:p>
      <w:pPr>
        <w:spacing w:after="160" w:line="320"/>
      </w:pPr>
      <w:r>
        <w:rPr>
          <w:b/>
          <w:bCs/>
          <w:sz w:val="22"/>
          <w:szCs w:val="22"/>
        </w:rPr>
        <w:t xml:space="preserve">Fin del dossier v2.0. </w:t>
      </w:r>
      <w:r>
        <w:rPr>
          <w:sz w:val="22"/>
          <w:szCs w:val="22"/>
        </w:rPr>
        <w:t xml:space="preserve">Refleja el estado del sitio tras implementar el dictamen del 17/10/2026. Los puntos verdes están resueltos y publicados; los ámboles requieren acción del titular o segunda revisión.</w:t>
      </w:r>
    </w:p>
    <w:sectPr>
      <w:footerReference w:type="default" r:id="rId6"/>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Dossier Legal v2.0 — Torres Titanium · CONFIDENCIAL · Página </w:t>
    </w:r>
    <w:r>
      <w:rPr>
        <w:color w:val="666666"/>
        <w:sz w:val="18"/>
        <w:szCs w:val="18"/>
      </w:rPr>
      <w:fldChar w:fldCharType="begin"/>
      <w:instrText xml:space="preserve">PAGE</w:instrText>
      <w:fldChar w:fldCharType="separate"/>
      <w:fldChar w:fldCharType="end"/>
    </w:r>
    <w:r>
      <w:rPr>
        <w:color w:val="666666"/>
        <w:sz w:val="18"/>
        <w:szCs w:val="18"/>
      </w:rPr>
      <w:t xml:space="preserve"> de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abstractNum>
  <w:abstractNum w:abstractNumId="3" w15:restartNumberingAfterBreak="0">
    <w:multiLevelType w:val="hybridMultilevel"/>
    <w:lvl w:ilvl="0" w: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A1931"/>
      <w:sz w:val="52"/>
      <w:szCs w:val="52"/>
    </w:rPr>
  </w:style>
  <w:style w:type="paragraph" w:styleId="Heading1">
    <w:name w:val="Heading 1"/>
    <w:basedOn w:val="Normal"/>
    <w:next w:val="Normal"/>
    <w:qFormat/>
    <w:pPr>
      <w:spacing w:after="200" w:before="240"/>
      <w:outlineLvl w:val="0"/>
    </w:pPr>
    <w:rPr>
      <w:rFonts w:ascii="Arial" w:cs="Arial" w:eastAsia="Arial" w:hAnsi="Arial"/>
      <w:b/>
      <w:bCs/>
      <w:color w:val="0A1931"/>
      <w:sz w:val="30"/>
      <w:szCs w:val="30"/>
    </w:rPr>
  </w:style>
  <w:style w:type="paragraph" w:styleId="Heading2">
    <w:name w:val="Heading 2"/>
    <w:basedOn w:val="Normal"/>
    <w:next w:val="Normal"/>
    <w:qFormat/>
    <w:pPr>
      <w:spacing w:after="140" w:before="200"/>
      <w:outlineLvl w:val="1"/>
    </w:pPr>
    <w:rPr>
      <w:rFonts w:ascii="Arial" w:cs="Arial" w:eastAsia="Arial" w:hAnsi="Arial"/>
      <w:b/>
      <w:bCs/>
      <w:color w:val="0A1931"/>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8A6D1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2026-10-17T08:56:14.340Z</dcterms:created>
  <dcterms:modified xsi:type="dcterms:W3CDTF">2026-10-17T08:56:14.360Z</dcterms:modified>
</cp:coreProperties>
</file>

<file path=docProps/custom.xml><?xml version="1.0" encoding="utf-8"?>
<Properties xmlns="http://schemas.openxmlformats.org/officeDocument/2006/custom-properties" xmlns:vt="http://schemas.openxmlformats.org/officeDocument/2006/docPropsVTypes"/>
</file>