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DOCUMENTO DE PLANIFICACIÓN ÁGIL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Sprint 1 — Front-End · Semana 4: Métricas, niveles de servicio y rendimiento web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Proyecto: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Integrador2_Proyecto — ERP de Reclutamiento y Gestión de RRHH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Semana: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Métricas, niveles de servicio y rendimiento web — Semana 4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Stack tecnológico: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Front-End: Next.js 16 · Back-End: FastAPI (Sprint 2) · Base de datos: PostgreSQL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Herramienta de gestión: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GitHub (Issues, Projects, Pull Requests) · Lighthouse / DevTools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Elaborado por: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Grupo 01 — Xavier Ibarra, Leonardo Morales, Antony (Alanya), Adam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0. Continuidad y regla de honestidad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Este documento parte del backlog, el prototipo, el repositorio, el incremento Angular… (en este proyecto, Next.js) y el registro de riesgos de las semanas 1 a 3; no inicia un proyecto nuevo.</w:t>
      </w:r>
    </w:p>
    <w:tbl>
      <w:tblPr>
        <w:tblW w:type="pct" w:w="100%"/>
        <w:tblBorders>
          <w:top w:val="single" w:color="8A6D3B" w:sz="8"/>
          <w:left w:val="single" w:color="8A6D3B" w:sz="8"/>
          <w:bottom w:val="single" w:color="8A6D3B" w:sz="8"/>
          <w:right w:val="single" w:color="8A6D3B" w:sz="8"/>
          <w:insideH w:val="single" w:color="8A6D3B" w:sz="8"/>
          <w:insideV w:val="single" w:color="8A6D3B" w:sz="8"/>
        </w:tblBorders>
      </w:tblPr>
      <w:tblGrid>
        <w:gridCol w:w="100"/>
      </w:tblGrid>
      <w:tr>
        <w:tc>
          <w:tcPr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REGLA DE HONESTIDAD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El Front-End actual funciona con datos sintéticos (mockPostulantes.ts) y sin Back-End conectado. Por lo tanto, ningún número de esta semana puede presentarse como disponibilidad real ni como comportamiento de usuarios reales (RUM). Todo objetivo se rotula como «propuesto» y todo dato de laboratorio se declara como tal, hasta que exista instrumentación real en producción.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Del valor a un compromiso medible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3000"/>
        <w:gridCol w:w="4400"/>
      </w:tblGrid>
      <w:tr>
        <w:trPr>
          <w:tblHeader/>
        </w:trPr>
        <w:tc>
          <w:tcPr>
            <w:tcW w:type="dxa" w:w="1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Pregunta que responde</w:t>
            </w:r>
          </w:p>
        </w:tc>
        <w:tc>
          <w:tcPr>
            <w:tcW w:type="dxa" w:w="4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 en el ERP de reclutamiento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Métrica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¿Qué número observo?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Duración de una búsqueda de postulantes, en ms.</w:t>
            </w:r>
          </w:p>
        </w:tc>
      </w:tr>
      <w:tr>
        <w:tc>
          <w:tcPr>
            <w:tcW w:type="dxa" w:w="1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KPI</w:t>
            </w:r>
          </w:p>
        </w:tc>
        <w:tc>
          <w:tcPr>
            <w:tcW w:type="dxa" w:w="30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¿Avanzamos hacia el objetivo de negocio?</w:t>
            </w:r>
          </w:p>
        </w:tc>
        <w:tc>
          <w:tcPr>
            <w:tcW w:type="dxa" w:w="4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% de reclutadores que completan una búsqueda con selección de postulante.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SLI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¿Qué nivel entregó el servicio?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% de búsquedas que devuelven un resultado correcto.</w:t>
            </w:r>
          </w:p>
        </w:tc>
      </w:tr>
      <w:tr>
        <w:tc>
          <w:tcPr>
            <w:tcW w:type="dxa" w:w="1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SLO</w:t>
            </w:r>
          </w:p>
        </w:tc>
        <w:tc>
          <w:tcPr>
            <w:tcW w:type="dxa" w:w="30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¿Qué nivel queremos alcanzar?</w:t>
            </w:r>
          </w:p>
        </w:tc>
        <w:tc>
          <w:tcPr>
            <w:tcW w:type="dxa" w:w="4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 menos 99 % de búsquedas correctas en 28 días (objetivo propuesto).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SLA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¿Qué se acuerda y qué ocurre si falla?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Compromiso revisado con el Product Owner / docente; sin penalidades, con plan correctivo.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Catálogo de indicadores propuestos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Indicadores centrados en el recorrido crítico priorizado en la semana 3: búsqueda y selección de postulantes (HU-04), más un guardrail de entrega del paquete Front-End.</w:t>
      </w:r>
    </w:p>
    <w:tbl>
      <w:tblPr>
        <w:tblW w:type="dxa" w:w="11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2400"/>
        <w:gridCol w:w="900"/>
        <w:gridCol w:w="2600"/>
        <w:gridCol w:w="1000"/>
        <w:gridCol w:w="1900"/>
        <w:gridCol w:w="1500"/>
      </w:tblGrid>
      <w:tr>
        <w:trPr>
          <w:tblHeader/>
        </w:trPr>
        <w:tc>
          <w:tcPr>
            <w:tcW w:type="dxa" w:w="7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9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Fórmula / estadístico</w:t>
            </w:r>
          </w:p>
        </w:tc>
        <w:tc>
          <w:tcPr>
            <w:tcW w:type="dxa" w:w="1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Ventana</w:t>
            </w:r>
          </w:p>
        </w:tc>
        <w:tc>
          <w:tcPr>
            <w:tcW w:type="dxa" w:w="19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 propuesto</w:t>
            </w:r>
          </w:p>
        </w:tc>
        <w:tc>
          <w:tcPr>
            <w:tcW w:type="dxa" w:w="15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KPI-01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Finalización del flujo de búsqueda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KPI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Búsquedas con selección de postulante / búsquedas iniciadas × 100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28 días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Línea base + mejora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Sin RUM</w:t>
            </w:r>
          </w:p>
        </w:tc>
      </w:tr>
      <w:tr>
        <w:tc>
          <w:tcPr>
            <w:tcW w:type="dxa" w:w="7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SLI-01</w:t>
            </w:r>
          </w:p>
        </w:tc>
        <w:tc>
          <w:tcPr>
            <w:tcW w:type="dxa" w:w="2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Respuesta correcta de búsqueda</w:t>
            </w:r>
          </w:p>
        </w:tc>
        <w:tc>
          <w:tcPr>
            <w:tcW w:type="dxa" w:w="9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SLI</w:t>
            </w:r>
          </w:p>
        </w:tc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Búsquedas con resultado válido / búsquedas elegibles × 100</w:t>
            </w:r>
          </w:p>
        </w:tc>
        <w:tc>
          <w:tcPr>
            <w:tcW w:type="dxa" w:w="10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28 días</w:t>
            </w:r>
          </w:p>
        </w:tc>
        <w:tc>
          <w:tcPr>
            <w:tcW w:type="dxa" w:w="19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≥ 99 %</w:t>
            </w:r>
          </w:p>
        </w:tc>
        <w:tc>
          <w:tcPr>
            <w:tcW w:type="dxa" w:w="1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SLI-02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Latencia de filtrado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SLI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p95 ms entre acción de filtrar y render de resultados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28 días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≤ 800 ms (cliente, sin red real)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Propuesto</w:t>
            </w:r>
          </w:p>
        </w:tc>
      </w:tr>
      <w:tr>
        <w:tc>
          <w:tcPr>
            <w:tcW w:type="dxa" w:w="7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UX-01</w:t>
            </w:r>
          </w:p>
        </w:tc>
        <w:tc>
          <w:tcPr>
            <w:tcW w:type="dxa" w:w="2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LCP (Largest Contentful Paint)</w:t>
            </w:r>
          </w:p>
        </w:tc>
        <w:tc>
          <w:tcPr>
            <w:tcW w:type="dxa" w:w="9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Web Vital</w:t>
            </w:r>
          </w:p>
        </w:tc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p75 por segmento</w:t>
            </w:r>
          </w:p>
        </w:tc>
        <w:tc>
          <w:tcPr>
            <w:tcW w:type="dxa" w:w="10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28 días</w:t>
            </w:r>
          </w:p>
        </w:tc>
        <w:tc>
          <w:tcPr>
            <w:tcW w:type="dxa" w:w="19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≤ 2.5 s</w:t>
            </w:r>
          </w:p>
        </w:tc>
        <w:tc>
          <w:tcPr>
            <w:tcW w:type="dxa" w:w="1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Diagnóstico de laboratorio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UX-02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INP (Interaction to Next Paint)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Web Vital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p75 por segmento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28 días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≤ 200 ms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Diagnóstico de laboratorio</w:t>
            </w:r>
          </w:p>
        </w:tc>
      </w:tr>
      <w:tr>
        <w:tc>
          <w:tcPr>
            <w:tcW w:type="dxa" w:w="7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UX-03</w:t>
            </w:r>
          </w:p>
        </w:tc>
        <w:tc>
          <w:tcPr>
            <w:tcW w:type="dxa" w:w="2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CLS (Cumulative Layout Shift)</w:t>
            </w:r>
          </w:p>
        </w:tc>
        <w:tc>
          <w:tcPr>
            <w:tcW w:type="dxa" w:w="9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Web Vital</w:t>
            </w:r>
          </w:p>
        </w:tc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p75 por segmento</w:t>
            </w:r>
          </w:p>
        </w:tc>
        <w:tc>
          <w:tcPr>
            <w:tcW w:type="dxa" w:w="10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28 días</w:t>
            </w:r>
          </w:p>
        </w:tc>
        <w:tc>
          <w:tcPr>
            <w:tcW w:type="dxa" w:w="19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≤ 0.10</w:t>
            </w:r>
          </w:p>
        </w:tc>
        <w:tc>
          <w:tcPr>
            <w:tcW w:type="dxa" w:w="1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Diagnóstico de laboratorio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DEL-01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Tamaño de paquete inicial (First Load JS)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Guardrail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Bytes reportados por next build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Cada PR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Definir tras medir la línea base (Actividad 7)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Por verificar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5"/>
          <w:szCs w:val="25"/>
        </w:rPr>
        <w:t xml:space="preserve">2.1 Ficha de medición — SLI-01 (respuesta correcta de búsqueda)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 del equipo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Nombre y propósito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Corrección de la búsqueda de postulantes: ¿el sistema devuelve el resultado esperado o una lista vacía válida cuando no hay coincidencias?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Población elegible</w:t>
            </w:r>
          </w:p>
        </w:tc>
        <w:tc>
          <w:tcPr>
            <w:tcW w:type="dxa" w:w="7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Intentos de búsqueda con especialidad/criterio y datos de entrada válidos, ejecutados desde /postulantes.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Evento bueno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El filtrado devuelve exactamente los postulantes que cumplen el criterio, o una lista vacía cuando corresponde (no un error de ejecución).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Fórmula y unidad</w:t>
            </w:r>
          </w:p>
        </w:tc>
        <w:tc>
          <w:tcPr>
            <w:tcW w:type="dxa" w:w="7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Búsquedas correctas / búsquedas elegibles × 100; porcentaje.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Fuente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Instrumentación local del hook usePostulantesList (evento de resultado), pendiente de versión con RUM real.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Ventana</w:t>
            </w:r>
          </w:p>
        </w:tc>
        <w:tc>
          <w:tcPr>
            <w:tcW w:type="dxa" w:w="7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28 días móviles; corte diario mientras haya volumen suficiente.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Segmentos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Por filtro usado (nombre / DNI / especialidad) y por rol (reclutador / administrador).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Exclusiones</w:t>
            </w:r>
          </w:p>
        </w:tc>
        <w:tc>
          <w:tcPr>
            <w:tcW w:type="dxa" w:w="7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Búsquedas con datos sintéticos de prueba etiquetados explícitamente; entradas inválidas rechazadas antes de ejecutar el filtro.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Calidad del dato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 de intento único, evita doble conteo por reintentos automáticos del formulario.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Responsable y acción</w:t>
            </w:r>
          </w:p>
        </w:tc>
        <w:tc>
          <w:tcPr>
            <w:tcW w:type="dxa" w:w="7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Adam (dueño del módulo HU-04); si el SLI cae, revisa el hook de filtrado y abre un issue con etiqueta riesgo.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5"/>
          <w:szCs w:val="25"/>
        </w:rPr>
        <w:t xml:space="preserve">2.2 Ficha de medición — SLI-02 (latencia de filtrado)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 del equipo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Nombre y propósito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Tiempo que percibe el reclutador entre pulsar «Buscar» y ver los resultados renderizados.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Población elegible</w:t>
            </w:r>
          </w:p>
        </w:tc>
        <w:tc>
          <w:tcPr>
            <w:tcW w:type="dxa" w:w="7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Búsquedas ejecutadas sobre el conjunto de datos sintéticos cargado en el cliente.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Evento bueno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Duración registrada entre el inicio del filtrado y el primer render de PostulantesTable con los resultados.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Fórmula y unidad</w:t>
            </w:r>
          </w:p>
        </w:tc>
        <w:tc>
          <w:tcPr>
            <w:tcW w:type="dxa" w:w="7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p95 de las duraciones observadas, en milisegundos (método de rango más cercano: ordenar y tomar ceil(0.95 × n)).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Fuente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performance.now() alrededor de la llamada a postulantesService, igual que el patrón usado en observability/service-metrics de la guía del curso.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Ventana</w:t>
            </w:r>
          </w:p>
        </w:tc>
        <w:tc>
          <w:tcPr>
            <w:tcW w:type="dxa" w:w="7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28 días móviles; también se reporta por corrida durante el experimento de la Actividad 9.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Segmentos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Escritorio / móvil emulado; tamaño del conjunto de datos simulado.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Exclusiones</w:t>
            </w:r>
          </w:p>
        </w:tc>
        <w:tc>
          <w:tcPr>
            <w:tcW w:type="dxa" w:w="7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Primeras cargas en frío del bundle (se documentan aparte, no se promedian con búsquedas repetidas).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Calidad del dato</w:t>
            </w:r>
          </w:p>
        </w:tc>
        <w:tc>
          <w:tcPr>
            <w:tcW w:type="dxa" w:w="7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Muestra local limitada a las últimas 50 mediciones; no se persisten identificadores personales.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Responsable y acción</w:t>
            </w:r>
          </w:p>
        </w:tc>
        <w:tc>
          <w:tcPr>
            <w:tcW w:type="dxa" w:w="7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Responsable de medición del Sprint; si el SLI se degrada, dispara la investigación WPO de la sección 5.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7D32" w:sz="8"/>
          <w:left w:val="single" w:color="2E7D32" w:sz="8"/>
          <w:bottom w:val="single" w:color="2E7D32" w:sz="8"/>
          <w:right w:val="single" w:color="2E7D32" w:sz="8"/>
          <w:insideH w:val="single" w:color="2E7D32" w:sz="8"/>
          <w:insideV w:val="single" w:color="2E7D32" w:sz="8"/>
        </w:tblBorders>
      </w:tblPr>
      <w:tblGrid>
        <w:gridCol w:w="100"/>
      </w:tblGrid>
      <w:tr>
        <w:tc>
          <w:tcPr>
            <w:shd w:fill="D9F2D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EVIDENCIA E4-1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Catálogo KPI/SLI con propósito, tipo, trazabilidad a HU-04 y decisión asociada.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De SLI a SLO y presupuesto de error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Fórmula: presupuesto de error = 1 − SLO. Ejemplo de trabajo con SLI-01 (objetivo propuesto 99 %):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1600"/>
        <w:gridCol w:w="3800"/>
        <w:gridCol w:w="2600"/>
      </w:tblGrid>
      <w:tr>
        <w:trPr>
          <w:tblHeader/>
        </w:trPr>
        <w:tc>
          <w:tcPr>
            <w:tcW w:type="dxa" w:w="1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SLO</w:t>
            </w:r>
          </w:p>
        </w:tc>
        <w:tc>
          <w:tcPr>
            <w:tcW w:type="dxa" w:w="1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Presupuesto</w:t>
            </w:r>
          </w:p>
        </w:tc>
        <w:tc>
          <w:tcPr>
            <w:tcW w:type="dxa" w:w="38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Sobre 1 000 búsquedas elegibles</w:t>
            </w:r>
          </w:p>
        </w:tc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Lectura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99.0 %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1.0 %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 búsquedas no válidas admitidas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Objetivo de trabajo para esta etapa del proyecto.</w:t>
            </w:r>
          </w:p>
        </w:tc>
      </w:tr>
      <w:tr>
        <w:tc>
          <w:tcPr>
            <w:tcW w:type="dxa" w:w="1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99.5 %</w:t>
            </w:r>
          </w:p>
        </w:tc>
        <w:tc>
          <w:tcPr>
            <w:tcW w:type="dxa" w:w="1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0.5 %</w:t>
            </w:r>
          </w:p>
        </w:tc>
        <w:tc>
          <w:tcPr>
            <w:tcW w:type="dxa" w:w="3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 búsquedas no válidas admitidas</w:t>
            </w:r>
          </w:p>
        </w:tc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Exige mayor cobertura de pruebas antes de comprometerse.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95.0 %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5.0 %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50 búsquedas no válidas admitidas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Demasiado laxo para una funcionalidad núcleo (búsqueda); no se adopta.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Política de consumo del presupuesto (igual para todos los SLO del proyecto):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 50 %: revisar tendencia y riesgos, sin bloquear automáticamente el Sprint.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 80 %: priorizar correcciones y reducir cambios de alto riesgo en el recorrido de búsqueda.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 100 %: declarar incumplimiento del SLO, analizar causa con el equipo y revisar si el objetivo estaba mal definido.</w:t>
      </w:r>
    </w:p>
    <w:p>
      <w:pPr>
        <w:spacing w:after="160"/>
      </w:pPr>
    </w:p>
    <w:tbl>
      <w:tblPr>
        <w:tblW w:type="pct" w:w="100%"/>
        <w:tblBorders>
          <w:top w:val="single" w:color="2E7D32" w:sz="8"/>
          <w:left w:val="single" w:color="2E7D32" w:sz="8"/>
          <w:bottom w:val="single" w:color="2E7D32" w:sz="8"/>
          <w:right w:val="single" w:color="2E7D32" w:sz="8"/>
          <w:insideH w:val="single" w:color="2E7D32" w:sz="8"/>
          <w:insideV w:val="single" w:color="2E7D32" w:sz="8"/>
        </w:tblBorders>
      </w:tblPr>
      <w:tblGrid>
        <w:gridCol w:w="100"/>
      </w:tblGrid>
      <w:tr>
        <w:tc>
          <w:tcPr>
            <w:shd w:fill="D9F2D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EVIDENCIA E4-2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Tabla de SLO, cálculo de presupuesto de error verificable y política de consumo documentada.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Borrador de SLA — ERP de Reclutamiento</w:t>
      </w:r>
    </w:p>
    <w:tbl>
      <w:tblPr>
        <w:tblW w:type="pct" w:w="100%"/>
        <w:tblBorders>
          <w:top w:val="single" w:color="8A6D3B" w:sz="8"/>
          <w:left w:val="single" w:color="8A6D3B" w:sz="8"/>
          <w:bottom w:val="single" w:color="8A6D3B" w:sz="8"/>
          <w:right w:val="single" w:color="8A6D3B" w:sz="8"/>
          <w:insideH w:val="single" w:color="8A6D3B" w:sz="8"/>
          <w:insideV w:val="single" w:color="8A6D3B" w:sz="8"/>
        </w:tblBorders>
      </w:tblPr>
      <w:tblGrid>
        <w:gridCol w:w="100"/>
      </w:tblGrid>
      <w:tr>
        <w:tc>
          <w:tcPr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POR QUÉ ES BORRADOR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La aplicación de referencia todavía simula la búsqueda en el navegador con datos sintéticos. Este acuerdo no prueba disponibilidad real, volumen ni comportamiento de producción; es una propuesta académica que se valida formalmente cuando exista Back-End, base de datos y tráfico real.</w:t>
            </w:r>
          </w:p>
        </w:tc>
      </w:tr>
    </w:tbl>
    <w:p>
      <w:pPr>
        <w:spacing w:after="160"/>
      </w:pP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780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78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 propuesto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Partes y propósito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Proveedor: equipo de desarrollo (Grupo 01). Consumidores: reclutadores, administradores y empresas clientes de la consultora.</w:t>
            </w:r>
          </w:p>
        </w:tc>
      </w:tr>
      <w:tr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Alcance</w:t>
            </w:r>
          </w:p>
        </w:tc>
        <w:tc>
          <w:tcPr>
            <w:tcW w:type="dxa" w:w="7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Autenticación, búsqueda y listado de postulantes, ficha del postulante, gestión de anuncios y empresas clientes — todo en el Front-End con datos simulados. No cubre confirmación de contratación real, planilla ni facturación.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Horario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Lunes a sábado, 07:00–21:00, horario de la consultora (América/Lima). Fuera de ese horario no se garantiza soporte.</w:t>
            </w:r>
          </w:p>
        </w:tc>
      </w:tr>
      <w:tr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Nivel (SLI/SLO)</w:t>
            </w:r>
          </w:p>
        </w:tc>
        <w:tc>
          <w:tcPr>
            <w:tcW w:type="dxa" w:w="7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SLI-01 ≥ 99 % y SLI-02 (p95) ≤ 800 ms, medidos en ventanas móviles de 28 días, una vez exista instrumentación real.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Medición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Corte diario y revisión semanal durante la etapa de estabilización del curso; fuente: instrumentación del cliente descrita en la sección 2.</w:t>
            </w:r>
          </w:p>
        </w:tc>
      </w:tr>
      <w:tr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Incidentes</w:t>
            </w:r>
          </w:p>
        </w:tc>
        <w:tc>
          <w:tcPr>
            <w:tcW w:type="dxa" w:w="7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Acuse ≤ 30 min; actualización cada 60 min; objetivo de restauración ≤ 4 h para un incidente severo (p. ej. búsqueda no devuelve resultados).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Exclusiones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Pruebas con datos sintéticos identificados, mantenimiento programado y ventanas sin muestra suficiente.</w:t>
            </w:r>
          </w:p>
        </w:tc>
      </w:tr>
      <w:tr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Consecuencias académicas</w:t>
            </w:r>
          </w:p>
        </w:tc>
        <w:tc>
          <w:tcPr>
            <w:tcW w:type="dxa" w:w="7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Análisis causal, plan correctivo y prioridad visible en el backlog; no se definen penalidades económicas por tratarse de un proyecto de curso.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Vigencia y revisión</w:t>
            </w:r>
          </w:p>
        </w:tc>
        <w:tc>
          <w:tcPr>
            <w:tcW w:type="dxa" w:w="7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Piloto de 28 días desde el primer despliegue instrumentado con datos reales; se revisa en cada hito (APF1, APF2, APF3).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5"/>
          <w:szCs w:val="25"/>
        </w:rPr>
        <w:t xml:space="preserve">4.1 Riesgos conectados al acuerdo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3400"/>
        <w:gridCol w:w="2000"/>
        <w:gridCol w:w="2400"/>
        <w:gridCol w:w="1500"/>
      </w:tblGrid>
      <w:tr>
        <w:trPr>
          <w:tblHeader/>
        </w:trPr>
        <w:tc>
          <w:tcPr>
            <w:tcW w:type="dxa" w:w="7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2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Disparador</w:t>
            </w:r>
          </w:p>
        </w:tc>
        <w:tc>
          <w:tcPr>
            <w:tcW w:type="dxa" w:w="2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 / respuesta</w:t>
            </w:r>
          </w:p>
        </w:tc>
        <w:tc>
          <w:tcPr>
            <w:tcW w:type="dxa" w:w="15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 relacionado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R-09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Debido a que aún no existen presupuestos de tamaño configurados en el build de Next.js, el paquete inicial podría crecer sin control y degradar el LCP.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First Load JS supera el umbral acordado en un PR.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Definir presupuesto tras medir la línea base (Actividad 7) y revisarlo en cada PR con build de producción.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DEL-01, UX-01</w:t>
            </w:r>
          </w:p>
        </w:tc>
      </w:tr>
      <w:tr>
        <w:tc>
          <w:tcPr>
            <w:tcW w:type="dxa" w:w="7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R-10</w:t>
            </w:r>
          </w:p>
        </w:tc>
        <w:tc>
          <w:tcPr>
            <w:tcW w:type="dxa" w:w="3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Debido a que no existe instrumentación real (RUM) del recorrido de búsqueda, los indicadores UX-01/02/03 dependen solo de mediciones de laboratorio y podrían ocultar el comportamiento real.</w:t>
            </w:r>
          </w:p>
        </w:tc>
        <w:tc>
          <w:tcPr>
            <w:tcW w:type="dxa" w:w="20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El equipo declara cumplimiento de un SLO sin evidencia de campo.</w:t>
            </w:r>
          </w:p>
        </w:tc>
        <w:tc>
          <w:tcPr>
            <w:tcW w:type="dxa" w:w="2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Rotular todo objetivo como «propuesto» hasta desplegar con RUM; planificar la instrumentación real para el Sprint 2.</w:t>
            </w:r>
          </w:p>
        </w:tc>
        <w:tc>
          <w:tcPr>
            <w:tcW w:type="dxa" w:w="15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SLI-01, SLI-02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R-11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Debido a que el SLA aún es una propuesta académica sin Back-End ni tráfico real, el equipo podría comprometer objetivos que no podrá sostener en producción.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El Product Owner o el docente objeta un objetivo del borrador de SLA.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Revisar el SLO con el stakeholder antes de la sustentación; documentar la decisión en docs/decisiones/.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SLI-01, SLI-02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R-09, R-10 y R-11 se incorporan a docs/riesgos/registro.md junto con los ocho riesgos ya registrados desde la semana 2.</w:t>
      </w:r>
    </w:p>
    <w:tbl>
      <w:tblPr>
        <w:tblW w:type="pct" w:w="100%"/>
        <w:tblBorders>
          <w:top w:val="single" w:color="2E7D32" w:sz="8"/>
          <w:left w:val="single" w:color="2E7D32" w:sz="8"/>
          <w:bottom w:val="single" w:color="2E7D32" w:sz="8"/>
          <w:right w:val="single" w:color="2E7D32" w:sz="8"/>
          <w:insideH w:val="single" w:color="2E7D32" w:sz="8"/>
          <w:insideV w:val="single" w:color="2E7D32" w:sz="8"/>
        </w:tblBorders>
      </w:tblPr>
      <w:tblGrid>
        <w:gridCol w:w="100"/>
      </w:tblGrid>
      <w:tr>
        <w:tc>
          <w:tcPr>
            <w:shd w:fill="D9F2D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EVIDENCIA E4-3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Borrador de SLA versionado, con riesgos conectados y listo para validación del Product Owner.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5. Fundamentos de optimización del rendimiento web (WPO)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WPO es el proceso continuo de medir, diagnosticar y mejorar la experiencia de carga y respuesta de la aplicación, sin perseguir un puntaje perfecto y sin degradar funcionalidad, accesibilidad ni seguridad.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2800"/>
        <w:gridCol w:w="1800"/>
        <w:gridCol w:w="1800"/>
        <w:gridCol w:w="2400"/>
      </w:tblGrid>
      <w:tr>
        <w:trPr>
          <w:tblHeader/>
        </w:trPr>
        <w:tc>
          <w:tcPr>
            <w:tcW w:type="dxa" w:w="1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8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Experiencia</w:t>
            </w:r>
          </w:p>
        </w:tc>
        <w:tc>
          <w:tcPr>
            <w:tcW w:type="dxa" w:w="18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Bueno</w:t>
            </w:r>
          </w:p>
        </w:tc>
        <w:tc>
          <w:tcPr>
            <w:tcW w:type="dxa" w:w="18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Pobre</w:t>
            </w:r>
          </w:p>
        </w:tc>
        <w:tc>
          <w:tcPr>
            <w:tcW w:type="dxa" w:w="2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de campo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LCP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Carga del contenido principal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≤ 2.5 s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&gt; 4.0 s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p75 de cargas, móvil y escritorio por separado.</w:t>
            </w:r>
          </w:p>
        </w:tc>
      </w:tr>
      <w:tr>
        <w:tc>
          <w:tcPr>
            <w:tcW w:type="dxa" w:w="1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INP</w:t>
            </w:r>
          </w:p>
        </w:tc>
        <w:tc>
          <w:tcPr>
            <w:tcW w:type="dxa" w:w="2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Respuesta a interacciones</w:t>
            </w:r>
          </w:p>
        </w:tc>
        <w:tc>
          <w:tcPr>
            <w:tcW w:type="dxa" w:w="1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≤ 200 ms</w:t>
            </w:r>
          </w:p>
        </w:tc>
        <w:tc>
          <w:tcPr>
            <w:tcW w:type="dxa" w:w="1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&gt; 500 ms</w:t>
            </w:r>
          </w:p>
        </w:tc>
        <w:tc>
          <w:tcPr>
            <w:tcW w:type="dxa" w:w="2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p75 de visitas con interacciones elegibles.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Estabilidad visual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≤ 0.10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&gt; 0.25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p75 de cargas; considerar el ciclo completo de la página.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1F5FA8" w:sz="8"/>
          <w:left w:val="single" w:color="1F5FA8" w:sz="8"/>
          <w:bottom w:val="single" w:color="1F5FA8" w:sz="8"/>
          <w:right w:val="single" w:color="1F5FA8" w:sz="8"/>
          <w:insideH w:val="single" w:color="1F5FA8" w:sz="8"/>
          <w:insideV w:val="single" w:color="1F5FA8" w:sz="8"/>
        </w:tblBorders>
      </w:tblPr>
      <w:tblGrid>
        <w:gridCol w:w="100"/>
      </w:tblGrid>
      <w:tr>
        <w:tc>
          <w:tcPr>
            <w:shd w:fill="E6F0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UMBRAL, NO GARANTÍA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Estos umbrales son referencias de experiencia web, no un SLO automático. Adoptarlos como SLO exige definir población, fuente, periodo, segmentos y respuesta — como se hizo en las fichas de la sección 2.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5"/>
          <w:szCs w:val="25"/>
        </w:rPr>
        <w:t xml:space="preserve">5.1 Estrategia WPO para Next.js 16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200"/>
        <w:gridCol w:w="2800"/>
        <w:gridCol w:w="1600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Hipótesis</w:t>
            </w:r>
          </w:p>
        </w:tc>
        <w:tc>
          <w:tcPr>
            <w:tcW w:type="dxa" w:w="28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Cambio candidato en Next.js</w:t>
            </w:r>
          </w:p>
        </w:tc>
        <w:tc>
          <w:tcPr>
            <w:tcW w:type="dxa" w:w="1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Verificación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El paquete inicial podría incluir componentes que no son necesarios en el primer render (p. ej. el portal de asociación de postulantes o el tablero kanban).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Código opcional se carga antes de necesitarse.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next/dynamic (import dinámico) para AsociarPostulantesPortal.tsx y PostulantesPipeline.tsx.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El build genera un chunk separado y el flujo sigue funcionando igual.</w:t>
            </w:r>
          </w:p>
        </w:tc>
      </w:tr>
      <w:tr>
        <w:tc>
          <w:tcPr>
            <w:tcW w:type="dxa" w:w="2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 la ficha del postulante o el dashboard usan imágenes (foto de perfil, logos de empresa), su peso puede afectar el LCP.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El recurso se descubre tarde o es más pesado de lo necesario.</w:t>
            </w:r>
          </w:p>
        </w:tc>
        <w:tc>
          <w:tcPr>
            <w:tcW w:type="dxa" w:w="2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next/image con dimensiones fijas y priority solo en la imagen que realmente es el elemento LCP.</w:t>
            </w:r>
          </w:p>
        </w:tc>
        <w:tc>
          <w:tcPr>
            <w:tcW w:type="dxa" w:w="1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LCP mejora sin distorsión visual; Lighthouse lo confirma.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Los skeletons (PostulantesSkeleton) y tarjetas deben reservar el mismo espacio que el contenido final.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 se reserva espacio y el contenido definitivo desplaza al skeleton.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width/height o aspect-ratio fijos entre el skeleton y el resultado real.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CLS local baja y no hay salto visible al pasar de loading a success.</w:t>
            </w:r>
          </w:p>
        </w:tc>
      </w:tr>
      <w:tr>
        <w:tc>
          <w:tcPr>
            <w:tcW w:type="dxa" w:w="2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El filtrado de listas grandes de postulantes en el cliente puede bloquear el hilo principal durante la interacción.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 cálculo largo en usePostulantesList retrasa la respuesta a la siguiente pulsación.</w:t>
            </w:r>
          </w:p>
        </w:tc>
        <w:tc>
          <w:tcPr>
            <w:tcW w:type="dxa" w:w="28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useMemo / useDeferredValue en el hook de filtrado; considerar paginación en servidor cuando exista Back-End.</w:t>
            </w:r>
          </w:p>
        </w:tc>
        <w:tc>
          <w:tcPr>
            <w:tcW w:type="dxa" w:w="1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 traza de Performance muestra menos bloqueo del hilo principal.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PostulantesTable puede crecer en número de filas simultáneas si el catálogo de postulantes aumenta.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Muchos nodos DOM incrementan el trabajo de renderizado y recálculo.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Paginación o virtualización de la tabla en vez de renderizar todas las filas a la vez.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Menos nodos DOM en DevTools, sin perder semántica de tabla.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5"/>
          <w:szCs w:val="25"/>
        </w:rPr>
        <w:t xml:space="preserve">5.2 Presupuesto de tamaño del paquete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Next.js no trae presupuestos de tamaño integrados como Angular (angular.json). Se recomienda incorporar un paso de verificación al CI ya existente (.github/workflows/ci.yml) una vez medida la línea base real de la Actividad 7, por ejemplo con @next/bundle-analyzer en modo reporte o con la librería size-limit sobre la carpeta .next/static.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2600"/>
        <w:gridCol w:w="1900"/>
        <w:gridCol w:w="2100"/>
      </w:tblGrid>
      <w:tr>
        <w:trPr>
          <w:tblHeader/>
        </w:trPr>
        <w:tc>
          <w:tcPr>
            <w:tcW w:type="dxa" w:w="3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First Load JS (línea base)</w:t>
            </w:r>
          </w:p>
        </w:tc>
        <w:tc>
          <w:tcPr>
            <w:tcW w:type="dxa" w:w="19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Advertencia propuesta</w:t>
            </w:r>
          </w:p>
        </w:tc>
        <w:tc>
          <w:tcPr>
            <w:tcW w:type="dxa" w:w="21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Error propuesto</w:t>
            </w:r>
          </w:p>
        </w:tc>
      </w:tr>
      <w:tr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/postulantes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Por medir en la Actividad 7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Línea base + 15 %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Línea base + 25 %</w:t>
            </w:r>
          </w:p>
        </w:tc>
      </w:tr>
      <w:tr>
        <w:tc>
          <w:tcPr>
            <w:tcW w:type="dxa" w:w="3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/ (todas las rutas del dashboard)</w:t>
            </w:r>
          </w:p>
        </w:tc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Por medir en la Actividad 7</w:t>
            </w:r>
          </w:p>
        </w:tc>
        <w:tc>
          <w:tcPr>
            <w:tcW w:type="dxa" w:w="19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Línea base + 15 %</w:t>
            </w:r>
          </w:p>
        </w:tc>
        <w:tc>
          <w:tcPr>
            <w:tcW w:type="dxa" w:w="21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Línea base + 25 %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7D32" w:sz="8"/>
          <w:left w:val="single" w:color="2E7D32" w:sz="8"/>
          <w:bottom w:val="single" w:color="2E7D32" w:sz="8"/>
          <w:right w:val="single" w:color="2E7D32" w:sz="8"/>
          <w:insideH w:val="single" w:color="2E7D32" w:sz="8"/>
          <w:insideV w:val="single" w:color="2E7D32" w:sz="8"/>
        </w:tblBorders>
      </w:tblPr>
      <w:tblGrid>
        <w:gridCol w:w="100"/>
      </w:tblGrid>
      <w:tr>
        <w:tc>
          <w:tcPr>
            <w:shd w:fill="D9F2D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EVIDENCIA E4-4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Estrategia WPO priorizada por evidencia, con hipótesis, cambio candidato y forma de verificarlo.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6. Experimento controlado (plantilla para ejecutar en el equipo)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Esta sección se completa durante la sesión con datos reales del equipo; no se reportan números que el equipo no haya medido.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5"/>
          <w:szCs w:val="25"/>
        </w:rPr>
        <w:t xml:space="preserve">6.1 Línea 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cd frontend/ERP &amp;&amp; npm ci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npm run build (registrar First Load JS por ruta, tal como lo reporta el resumen de next build)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npm run start (o npm run dev) en una URL estable, ventana de incógnito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Lighthouse en modo Performance, mismo dispositivo emulado, 3 corridas; conservar la mediana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5"/>
          <w:szCs w:val="25"/>
        </w:rPr>
        <w:t xml:space="preserve">6.2 Hipótesis candidata (a confirmar por el equipo)</w:t>
      </w:r>
    </w:p>
    <w:tbl>
      <w:tblPr>
        <w:tblW w:type="pct" w:w="100%"/>
        <w:tblBorders>
          <w:top w:val="single" w:color="1F5FA8" w:sz="8"/>
          <w:left w:val="single" w:color="1F5FA8" w:sz="8"/>
          <w:bottom w:val="single" w:color="1F5FA8" w:sz="8"/>
          <w:right w:val="single" w:color="1F5FA8" w:sz="8"/>
          <w:insideH w:val="single" w:color="1F5FA8" w:sz="8"/>
          <w:insideV w:val="single" w:color="1F5FA8" w:sz="8"/>
        </w:tblBorders>
      </w:tblPr>
      <w:tblGrid>
        <w:gridCol w:w="100"/>
      </w:tblGrid>
      <w:tr>
        <w:tc>
          <w:tcPr>
            <w:shd w:fill="E6F0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HIPÓTESIS PROPUESTA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 diferimos con next/dynamic el portal AsociarPostulantesPortal (solo necesario al asociar postulantes a un anuncio) fuera del primer render de /anuncios, entonces el First Load JS de esa ruta baja y el LCP no empeora, porque ese componente no es visible al cargar la página. Lo aceptamos si aparece un chunk separado, el build permanece dentro del presupuesto propuesto y el flujo de asociar postulantes sigue funcionando igual.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A44"/>
          <w:sz w:val="25"/>
          <w:szCs w:val="25"/>
        </w:rPr>
        <w:t xml:space="preserve">6.3 Matriz antes / después (a completar con mediciones reales)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000"/>
        <w:gridCol w:w="2000"/>
        <w:gridCol w:w="1200"/>
        <w:gridCol w:w="22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Antes (línea base)</w:t>
            </w:r>
          </w:p>
        </w:tc>
        <w:tc>
          <w:tcPr>
            <w:tcW w:type="dxa" w:w="20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Después (con el cambio)</w:t>
            </w:r>
          </w:p>
        </w:tc>
        <w:tc>
          <w:tcPr>
            <w:tcW w:type="dxa" w:w="1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Diferencia</w:t>
            </w:r>
          </w:p>
        </w:tc>
        <w:tc>
          <w:tcPr>
            <w:tcW w:type="dxa" w:w="22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First Load JS de la ruta afectada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Por medir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Por medir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Por decidir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LCP (p75, laboratorio)</w:t>
            </w:r>
          </w:p>
        </w:tc>
        <w:tc>
          <w:tcPr>
            <w:tcW w:type="dxa" w:w="20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Por medir</w:t>
            </w:r>
          </w:p>
        </w:tc>
        <w:tc>
          <w:tcPr>
            <w:tcW w:type="dxa" w:w="20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Por medir</w:t>
            </w:r>
          </w:p>
        </w:tc>
        <w:tc>
          <w:tcPr>
            <w:tcW w:type="dxa" w:w="1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Por decidir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CLS (p75, laboratorio)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Por medir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Por medir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Por decidir</w:t>
            </w:r>
          </w:p>
        </w:tc>
      </w:tr>
      <w:tr>
        <w:tc>
          <w:tcPr>
            <w:tcW w:type="dxa" w:w="26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Pruebas (build/lint) y funcionalidad</w:t>
            </w:r>
          </w:p>
        </w:tc>
        <w:tc>
          <w:tcPr>
            <w:tcW w:type="dxa" w:w="20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npm run build / npm run lint en verde</w:t>
            </w:r>
          </w:p>
        </w:tc>
        <w:tc>
          <w:tcPr>
            <w:tcW w:type="dxa" w:w="20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npm run build / npm run lint en verde</w:t>
            </w:r>
          </w:p>
        </w:tc>
        <w:tc>
          <w:tcPr>
            <w:tcW w:type="dxa" w:w="1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Requisito, no opcional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Decisión final: mejorar / mantener / revertir / investigar — se registra solo después de ejecutar las tres corridas de antes y de después con las mismas condiciones.</w:t>
      </w:r>
    </w:p>
    <w:tbl>
      <w:tblPr>
        <w:tblW w:type="pct" w:w="100%"/>
        <w:tblBorders>
          <w:top w:val="single" w:color="2E7D32" w:sz="8"/>
          <w:left w:val="single" w:color="2E7D32" w:sz="8"/>
          <w:bottom w:val="single" w:color="2E7D32" w:sz="8"/>
          <w:right w:val="single" w:color="2E7D32" w:sz="8"/>
          <w:insideH w:val="single" w:color="2E7D32" w:sz="8"/>
          <w:insideV w:val="single" w:color="2E7D32" w:sz="8"/>
        </w:tblBorders>
      </w:tblPr>
      <w:tblGrid>
        <w:gridCol w:w="100"/>
      </w:tblGrid>
      <w:tr>
        <w:tc>
          <w:tcPr>
            <w:shd w:fill="D9F2D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EVIDENCIA E4-5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Matriz antes/después con reportes, condiciones, cálculo y decisión tomada por el equipo.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7. Entregables y estructura de evidencias — Semana 4</w:t>
      </w:r>
    </w:p>
    <w:tbl>
      <w:tblPr>
        <w:tblW w:type="dxa" w:w="10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4400"/>
        <w:gridCol w:w="4300"/>
      </w:tblGrid>
      <w:tr>
        <w:trPr>
          <w:tblHeader/>
        </w:trPr>
        <w:tc>
          <w:tcPr>
            <w:tcW w:type="dxa" w:w="13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4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43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Ubicación en el repositorio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E4-1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Catálogo KPI/SLI con fichas de medición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docs/metrics/catalogo-kpi-sli.md</w:t>
            </w:r>
          </w:p>
        </w:tc>
      </w:tr>
      <w:tr>
        <w:tc>
          <w:tcPr>
            <w:tcW w:type="dxa" w:w="1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E4-2</w:t>
            </w:r>
          </w:p>
        </w:tc>
        <w:tc>
          <w:tcPr>
            <w:tcW w:type="dxa" w:w="4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Tabla de SLO y presupuesto de error</w:t>
            </w:r>
          </w:p>
        </w:tc>
        <w:tc>
          <w:tcPr>
            <w:tcW w:type="dxa" w:w="4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Este documento, sección 3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E4-3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Borrador de SLA y riesgos conectados (R-09 a R-11)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docs/riesgos/registro.md</w:t>
            </w:r>
          </w:p>
        </w:tc>
      </w:tr>
      <w:tr>
        <w:tc>
          <w:tcPr>
            <w:tcW w:type="dxa" w:w="1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E4-4</w:t>
            </w:r>
          </w:p>
        </w:tc>
        <w:tc>
          <w:tcPr>
            <w:tcW w:type="dxa" w:w="44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Estrategia WPO priorizada por evidencia</w:t>
            </w:r>
          </w:p>
        </w:tc>
        <w:tc>
          <w:tcPr>
            <w:tcW w:type="dxa" w:w="4300"/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docs/performance/wpo-experimento-s4.md</w:t>
            </w:r>
          </w:p>
        </w:tc>
      </w:tr>
      <w:tr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E4-5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Línea base, hipótesis, cambio y comparación antes/después</w:t>
            </w:r>
          </w:p>
        </w:tc>
        <w:tc>
          <w:tcPr>
            <w:tcW w:type="dxa" w:w="4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docs/performance/wpo-experimento-s4.md · PR de la semana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8. Reflexión de cierre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SLA de esta semana es, deliberadamente, una propuesta y no un contrato: el equipo todavía no tiene Back-End, base de datos ni usuarios reales conectados. El valor del ejercicio está en dejar el lenguaje de medición correcto (KPI, SLI, SLO, SLA) y las fichas necesarias para que, cuando el Sprint 2 conecte FastAPI y PostgreSQL, el equipo solo tenga que instrumentar y recolectar datos reales, sin tener que rediseñar qué se mide ni por qué.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Próxima decisión abierta antes del hito APF1 (semana 5): confirmar con el Product Owner si SLI-01 y SLI-02 se mantienen como se proponen aquí o se ajustan una vez exista el primer contrato real de la API del Back-End.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2026-09-10T03:44:49.424Z</dcterms:created>
  <dcterms:modified xsi:type="dcterms:W3CDTF">2026-09-10T03:44:49.424Z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