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Оценка согласованности суждений экспертов</w:t>
      </w:r>
    </w:p>
    <w:p>
      <w:pPr>
        <w:jc w:val="center"/>
      </w:pPr>
      <w:r>
        <w:rPr>
          <w:i/>
          <w:sz w:val="24"/>
        </w:rPr>
        <w:t>Применение коэффициента конкордации Кендалла для критериев туристической рекомендации</w:t>
      </w:r>
    </w:p>
    <w:p/>
    <w:p>
      <w:pPr>
        <w:pStyle w:val="Heading1"/>
      </w:pPr>
      <w:r>
        <w:t>1. Назначение оценки</w:t>
      </w:r>
    </w:p>
    <w:p>
      <w:r>
        <w:t>При назначении весов критериев рекомендательной системы желательно проверить, насколько согласованы мнения экспертов. Для этого используется коэффициент конкордации Кендалла W.</w:t>
      </w:r>
    </w:p>
    <w:p>
      <w:pPr>
        <w:pStyle w:val="Heading1"/>
      </w:pPr>
      <w:r>
        <w:t>2. Экспертное ранжирование критериев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61"/>
        <w:gridCol w:w="1261"/>
        <w:gridCol w:w="1261"/>
        <w:gridCol w:w="1261"/>
        <w:gridCol w:w="1261"/>
        <w:gridCol w:w="1261"/>
        <w:gridCol w:w="1261"/>
        <w:gridCol w:w="1261"/>
      </w:tblGrid>
      <w:tr>
        <w:tc>
          <w:tcPr>
            <w:tcW w:type="dxa" w:w="1261"/>
            <w:vAlign w:val="center"/>
            <w:shd w:fill="D9EAF7"/>
          </w:tcPr>
          <w:p>
            <w:pPr>
              <w:spacing w:after="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Критерий</w:t>
            </w:r>
          </w:p>
        </w:tc>
        <w:tc>
          <w:tcPr>
            <w:tcW w:type="dxa" w:w="1261"/>
            <w:vAlign w:val="center"/>
            <w:shd w:fill="D9EAF7"/>
          </w:tcPr>
          <w:p>
            <w:pPr>
              <w:spacing w:after="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Эксперт 1</w:t>
            </w:r>
          </w:p>
        </w:tc>
        <w:tc>
          <w:tcPr>
            <w:tcW w:type="dxa" w:w="1261"/>
            <w:vAlign w:val="center"/>
            <w:shd w:fill="D9EAF7"/>
          </w:tcPr>
          <w:p>
            <w:pPr>
              <w:spacing w:after="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Эксперт 2</w:t>
            </w:r>
          </w:p>
        </w:tc>
        <w:tc>
          <w:tcPr>
            <w:tcW w:type="dxa" w:w="1261"/>
            <w:vAlign w:val="center"/>
            <w:shd w:fill="D9EAF7"/>
          </w:tcPr>
          <w:p>
            <w:pPr>
              <w:spacing w:after="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Эксперт 3</w:t>
            </w:r>
          </w:p>
        </w:tc>
        <w:tc>
          <w:tcPr>
            <w:tcW w:type="dxa" w:w="1261"/>
            <w:vAlign w:val="center"/>
            <w:shd w:fill="D9EAF7"/>
          </w:tcPr>
          <w:p>
            <w:pPr>
              <w:spacing w:after="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Эксперт 4</w:t>
            </w:r>
          </w:p>
        </w:tc>
        <w:tc>
          <w:tcPr>
            <w:tcW w:type="dxa" w:w="1261"/>
            <w:vAlign w:val="center"/>
            <w:shd w:fill="D9EAF7"/>
          </w:tcPr>
          <w:p>
            <w:pPr>
              <w:spacing w:after="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Эксперт 5</w:t>
            </w:r>
          </w:p>
        </w:tc>
        <w:tc>
          <w:tcPr>
            <w:tcW w:type="dxa" w:w="1261"/>
            <w:vAlign w:val="center"/>
            <w:shd w:fill="D9EAF7"/>
          </w:tcPr>
          <w:p>
            <w:pPr>
              <w:spacing w:after="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Сумма</w:t>
            </w:r>
          </w:p>
        </w:tc>
        <w:tc>
          <w:tcPr>
            <w:tcW w:type="dxa" w:w="1261"/>
            <w:vAlign w:val="center"/>
            <w:shd w:fill="D9EAF7"/>
          </w:tcPr>
          <w:p>
            <w:pPr>
              <w:spacing w:after="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Отклонение</w:t>
            </w:r>
          </w:p>
        </w:tc>
      </w:tr>
      <w:tr>
        <w:tc>
          <w:tcPr>
            <w:tcW w:type="dxa" w:w="1261"/>
            <w:vAlign w:val="center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Соответствие интересам туриста</w:t>
            </w:r>
          </w:p>
        </w:tc>
        <w:tc>
          <w:tcPr>
            <w:tcW w:type="dxa" w:w="1261"/>
            <w:vAlign w:val="center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1261"/>
            <w:vAlign w:val="center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1261"/>
            <w:vAlign w:val="center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1261"/>
            <w:vAlign w:val="center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1261"/>
            <w:vAlign w:val="center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1261"/>
            <w:vAlign w:val="center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6</w:t>
            </w:r>
          </w:p>
        </w:tc>
        <w:tc>
          <w:tcPr>
            <w:tcW w:type="dxa" w:w="1261"/>
            <w:vAlign w:val="center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-11.5</w:t>
            </w:r>
          </w:p>
        </w:tc>
      </w:tr>
      <w:tr>
        <w:tc>
          <w:tcPr>
            <w:tcW w:type="dxa" w:w="1261"/>
            <w:vAlign w:val="center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Бюджет поездки</w:t>
            </w:r>
          </w:p>
        </w:tc>
        <w:tc>
          <w:tcPr>
            <w:tcW w:type="dxa" w:w="1261"/>
            <w:vAlign w:val="center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1261"/>
            <w:vAlign w:val="center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1261"/>
            <w:vAlign w:val="center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1261"/>
            <w:vAlign w:val="center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1261"/>
            <w:vAlign w:val="center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1261"/>
            <w:vAlign w:val="center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10</w:t>
            </w:r>
          </w:p>
        </w:tc>
        <w:tc>
          <w:tcPr>
            <w:tcW w:type="dxa" w:w="1261"/>
            <w:vAlign w:val="center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-7.5</w:t>
            </w:r>
          </w:p>
        </w:tc>
      </w:tr>
      <w:tr>
        <w:tc>
          <w:tcPr>
            <w:tcW w:type="dxa" w:w="1261"/>
            <w:vAlign w:val="center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Желаемое направление</w:t>
            </w:r>
          </w:p>
        </w:tc>
        <w:tc>
          <w:tcPr>
            <w:tcW w:type="dxa" w:w="1261"/>
            <w:vAlign w:val="center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1261"/>
            <w:vAlign w:val="center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1261"/>
            <w:vAlign w:val="center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1261"/>
            <w:vAlign w:val="center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1261"/>
            <w:vAlign w:val="center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1261"/>
            <w:vAlign w:val="center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15</w:t>
            </w:r>
          </w:p>
        </w:tc>
        <w:tc>
          <w:tcPr>
            <w:tcW w:type="dxa" w:w="1261"/>
            <w:vAlign w:val="center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-2.5</w:t>
            </w:r>
          </w:p>
        </w:tc>
      </w:tr>
      <w:tr>
        <w:tc>
          <w:tcPr>
            <w:tcW w:type="dxa" w:w="1261"/>
            <w:vAlign w:val="center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Сезонность маршрута</w:t>
            </w:r>
          </w:p>
        </w:tc>
        <w:tc>
          <w:tcPr>
            <w:tcW w:type="dxa" w:w="1261"/>
            <w:vAlign w:val="center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1261"/>
            <w:vAlign w:val="center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1261"/>
            <w:vAlign w:val="center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1261"/>
            <w:vAlign w:val="center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1261"/>
            <w:vAlign w:val="center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1261"/>
            <w:vAlign w:val="center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20</w:t>
            </w:r>
          </w:p>
        </w:tc>
        <w:tc>
          <w:tcPr>
            <w:tcW w:type="dxa" w:w="1261"/>
            <w:vAlign w:val="center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2.5</w:t>
            </w:r>
          </w:p>
        </w:tc>
      </w:tr>
      <w:tr>
        <w:tc>
          <w:tcPr>
            <w:tcW w:type="dxa" w:w="1261"/>
            <w:vAlign w:val="center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Длительность поездки</w:t>
            </w:r>
          </w:p>
        </w:tc>
        <w:tc>
          <w:tcPr>
            <w:tcW w:type="dxa" w:w="1261"/>
            <w:vAlign w:val="center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1261"/>
            <w:vAlign w:val="center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1261"/>
            <w:vAlign w:val="center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1261"/>
            <w:vAlign w:val="center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1261"/>
            <w:vAlign w:val="center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1261"/>
            <w:vAlign w:val="center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24</w:t>
            </w:r>
          </w:p>
        </w:tc>
        <w:tc>
          <w:tcPr>
            <w:tcW w:type="dxa" w:w="1261"/>
            <w:vAlign w:val="center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6.5</w:t>
            </w:r>
          </w:p>
        </w:tc>
      </w:tr>
      <w:tr>
        <w:tc>
          <w:tcPr>
            <w:tcW w:type="dxa" w:w="1261"/>
            <w:vAlign w:val="center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Уровень активности</w:t>
            </w:r>
          </w:p>
        </w:tc>
        <w:tc>
          <w:tcPr>
            <w:tcW w:type="dxa" w:w="1261"/>
            <w:vAlign w:val="center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6</w:t>
            </w:r>
          </w:p>
        </w:tc>
        <w:tc>
          <w:tcPr>
            <w:tcW w:type="dxa" w:w="1261"/>
            <w:vAlign w:val="center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6</w:t>
            </w:r>
          </w:p>
        </w:tc>
        <w:tc>
          <w:tcPr>
            <w:tcW w:type="dxa" w:w="1261"/>
            <w:vAlign w:val="center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6</w:t>
            </w:r>
          </w:p>
        </w:tc>
        <w:tc>
          <w:tcPr>
            <w:tcW w:type="dxa" w:w="1261"/>
            <w:vAlign w:val="center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6</w:t>
            </w:r>
          </w:p>
        </w:tc>
        <w:tc>
          <w:tcPr>
            <w:tcW w:type="dxa" w:w="1261"/>
            <w:vAlign w:val="center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6</w:t>
            </w:r>
          </w:p>
        </w:tc>
        <w:tc>
          <w:tcPr>
            <w:tcW w:type="dxa" w:w="1261"/>
            <w:vAlign w:val="center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30</w:t>
            </w:r>
          </w:p>
        </w:tc>
        <w:tc>
          <w:tcPr>
            <w:tcW w:type="dxa" w:w="1261"/>
            <w:vAlign w:val="center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12.5</w:t>
            </w:r>
          </w:p>
        </w:tc>
      </w:tr>
    </w:tbl>
    <w:p>
      <w:pPr>
        <w:pStyle w:val="Heading1"/>
      </w:pPr>
      <w:r>
        <w:t>3. Расчет коэффициента конкордации</w:t>
      </w:r>
    </w:p>
    <w:p>
      <w:r>
        <w:t>Средняя сумма рангов:</w:t>
      </w:r>
    </w:p>
    <w:p>
      <w:r>
        <w:t>R̄ = d(m + 1) / 2 = 5 · (6 + 1) / 2 = 17,5</w:t>
      </w:r>
    </w:p>
    <w:p>
      <w:r>
        <w:t>Сумма квадратов отклонений:</w:t>
      </w:r>
    </w:p>
    <w:p>
      <w:r>
        <w:t>Z = Σ(Rᵢ - R̄)² = 399.5</w:t>
      </w:r>
    </w:p>
    <w:p>
      <w:r>
        <w:t>Коэффициент конкордации без связных рангов:</w:t>
      </w:r>
    </w:p>
    <w:p>
      <w:r>
        <w:t>W = 12Z / (d²(m³ - m))</w:t>
      </w:r>
    </w:p>
    <w:p>
      <w:r>
        <w:t>W = 12 · 399.5 / (5² · (6³ - 6)) = 0.913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086"/>
      </w:tblGrid>
      <w:tr>
        <w:tc>
          <w:tcPr>
            <w:tcW w:type="dxa" w:w="10086"/>
            <w:shd w:fill="EEF6FB"/>
            <w:vAlign w:val="center"/>
          </w:tcPr>
          <w:p>
            <w:r/>
            <w:r>
              <w:rPr>
                <w:b w:val="0"/>
                <w:sz w:val="20"/>
              </w:rPr>
              <w:t>Интерпретация: W близок к 1, следовательно, эксперты достаточно согласованы в оценке важности критериев рекомендательной системы.</w:t>
            </w:r>
          </w:p>
        </w:tc>
      </w:tr>
    </w:tbl>
    <w:p/>
    <w:p>
      <w:pPr>
        <w:pStyle w:val="Heading1"/>
      </w:pPr>
      <w:r>
        <w:t>4. Проверка значимости</w:t>
      </w:r>
    </w:p>
    <w:p>
      <w:r>
        <w:t>Для проверки значимости используется критерий Пирсона: χ² = d(m - 1)W.</w:t>
      </w:r>
    </w:p>
    <w:p>
      <w:r>
        <w:t>χ² = 5 · (6 - 1) · 0.913 = 22.83</w:t>
      </w:r>
    </w:p>
    <w:p>
      <w:r>
        <w:t>При числе степеней свободы ν = m - 1 = 5 и уровне значимости 0,05 табличное значение χ² составляет 11,07. Так как расчетное значение больше табличного, гипотеза о согласованности экспертных ранжировок принимается.</w:t>
      </w:r>
    </w:p>
    <w:p>
      <w:pPr>
        <w:pStyle w:val="Heading1"/>
      </w:pPr>
      <w:r>
        <w:t>5. Вывод</w:t>
      </w:r>
    </w:p>
    <w:p>
      <w:r>
        <w:t>Полученное значение коэффициента конкордации подтверждает, что выбранные критерии и их относительная важность могут использоваться в модели подбора туристических маршрутов.</w:t>
      </w:r>
    </w:p>
    <w:sectPr w:rsidR="00FC693F" w:rsidRPr="0006063C" w:rsidSect="00034616">
      <w:pgSz w:w="12240" w:h="15840"/>
      <w:pgMar w:top="1020" w:right="1020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color w:val="1F4E79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color w:val="4F81BD" w:themeColor="accent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Times New Roman" w:hAnsi="Times New Roman"/>
      <w:b/>
      <w:color w:val="17365D" w:themeColor="text2" w:themeShade="BF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