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Visualizzazione Clienti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70"/>
        <w:gridCol w:w="1740"/>
        <w:gridCol w:w="1800"/>
        <w:gridCol w:w="1800"/>
        <w:tblGridChange w:id="0">
          <w:tblGrid>
            <w:gridCol w:w="1890"/>
            <w:gridCol w:w="1770"/>
            <w:gridCol w:w="174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clienti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Gragnaniello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L'Use Case offre la possibilità di visualizzare una pagina che mostra l’elenco di tutti i clienti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L’amministratore</w:t>
            </w:r>
            <w:r w:rsidDel="00000000" w:rsidR="00000000" w:rsidRPr="00000000">
              <w:rPr>
                <w:rtl w:val="0"/>
              </w:rPr>
              <w:t xml:space="preserve"> deve essere connesso e cliccare sul comando specifico per visualizzare l'elenco dei clienti.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L’amministratore vede una pagina che mostra l'elenco dei clienti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L’amministratore non riesce a connettersi al server e non può visualizzare la pagina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Chiede al sistema di mostrargli la pagina con l’elenco dei clienti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visualizza all'amministratore la pagina desiderata.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Visualizza la pagina.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Errore (Il sistema non riesce a recuperare i dati)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un messaggio di errore all’aministratore, avvisando che non è stato possibile recuperare i dati.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L’operazione si conclude con esito negativo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