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145d70204a0ba049c1f931ba1d2247746ddf3f5"/>
    <w:p>
      <w:pPr>
        <w:pStyle w:val="Heading1"/>
      </w:pPr>
      <w:r>
        <w:t xml:space="preserve">META-PROMPT v1.0 — Trilogía FDEP-TP para</w:t>
      </w:r>
      <w:r>
        <w:t xml:space="preserve"> </w:t>
      </w:r>
      <w:r>
        <w:rPr>
          <w:i/>
          <w:iCs/>
        </w:rPr>
        <w:t xml:space="preserve">The Lancet Diabetes &amp; Endocrinology</w:t>
      </w:r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Optimizar el flujo completo (programas, herramientas, repositorios, métricas, workflows y hardware) en el Mac mini M4 Pro 24 GB para producir tres artículos hermanos (M1 —</w:t>
      </w:r>
      <w:r>
        <w:t xml:space="preserve"> </w:t>
      </w:r>
      <w:r>
        <w:rPr>
          <w:i/>
          <w:iCs/>
        </w:rPr>
        <w:t xml:space="preserve">Original Research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Article</w:t>
      </w:r>
      <w:r>
        <w:t xml:space="preserve">) en</w:t>
      </w:r>
      <w:r>
        <w:t xml:space="preserve"> </w:t>
      </w:r>
      <w:r>
        <w:rPr>
          <w:i/>
          <w:iCs/>
        </w:rPr>
        <w:t xml:space="preserve">The Lancet Diabetes &amp; Endocrinology</w:t>
      </w:r>
      <w:r>
        <w:t xml:space="preserve">, derivados de</w:t>
      </w:r>
      <w:r>
        <w:t xml:space="preserve"> </w:t>
      </w:r>
      <w:r>
        <w:rPr>
          <w:i/>
          <w:iCs/>
        </w:rPr>
        <w:t xml:space="preserve">Periprandial Transition Profiles and Integrated Enteropancreatic Patterns I–V</w:t>
      </w:r>
      <w:r>
        <w:t xml:space="preserve"> </w:t>
      </w:r>
      <w:r>
        <w:t xml:space="preserve">(manuscrito ya empaquetado en</w:t>
      </w:r>
      <w:r>
        <w:t xml:space="preserve"> </w:t>
      </w:r>
      <w:r>
        <w:rPr>
          <w:rStyle w:val="VerbatimChar"/>
        </w:rPr>
        <w:t xml:space="preserve">~/Research/PTP_JCEM/04_manuscript/lancet_de_submission_package/</w:t>
      </w:r>
      <w:r>
        <w:t xml:space="preserve">), incorporando y referenciando los comentarios de revisión consolidados (Jenni AI rounds 1–4, sesión 2026-05-08/09).</w:t>
      </w:r>
    </w:p>
    <w:p>
      <w:pPr>
        <w:pStyle w:val="BodyText"/>
      </w:pPr>
      <w:r>
        <w:rPr>
          <w:b/>
          <w:bCs/>
        </w:rPr>
        <w:t xml:space="preserve">Autor único.</w:t>
      </w:r>
      <w:r>
        <w:t xml:space="preserve"> </w:t>
      </w:r>
      <w:r>
        <w:t xml:space="preserve">Dr. Héctor M. Virgen-Ayala · ORCID 0009-0006-2081-2286 · Universidad de Guadalajara / IMSS ·</w:t>
      </w:r>
      <w:r>
        <w:t xml:space="preserve"> </w:t>
      </w:r>
      <w:r>
        <w:rPr>
          <w:rStyle w:val="VerbatimChar"/>
        </w:rPr>
        <w:t xml:space="preserve">hectorvirgenmd@gmail.com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Fecha de emisión.</w:t>
      </w:r>
      <w:r>
        <w:t xml:space="preserve"> </w:t>
      </w:r>
      <w:r>
        <w:t xml:space="preserve">2026-05-09.</w:t>
      </w:r>
      <w:r>
        <w:t xml:space="preserve"> </w:t>
      </w:r>
      <w:r>
        <w:rPr>
          <w:b/>
          <w:bCs/>
        </w:rPr>
        <w:t xml:space="preserve">Idioma del meta-prompt.</w:t>
      </w:r>
      <w:r>
        <w:t xml:space="preserve"> </w:t>
      </w:r>
      <w:r>
        <w:t xml:space="preserve">Español académico.</w:t>
      </w:r>
      <w:r>
        <w:t xml:space="preserve"> </w:t>
      </w:r>
      <w:r>
        <w:rPr>
          <w:b/>
          <w:bCs/>
        </w:rPr>
        <w:t xml:space="preserve">Idioma de los artículos resultantes.</w:t>
      </w:r>
      <w:r>
        <w:t xml:space="preserve"> </w:t>
      </w:r>
      <w:r>
        <w:t xml:space="preserve">Inglés británico Lancet style.</w:t>
      </w:r>
    </w:p>
    <w:p>
      <w:r>
        <w:pict>
          <v:rect style="width:0;height:1.5pt" o:hralign="center" o:hrstd="t" o:hr="t"/>
        </w:pict>
      </w:r>
    </w:p>
    <w:bookmarkStart w:id="9" w:name="Xfcc9717f66f37fa29d6f82d78d70db1aaf79dce"/>
    <w:p>
      <w:pPr>
        <w:pStyle w:val="Heading2"/>
      </w:pPr>
      <w:r>
        <w:t xml:space="preserve">0 · Estado actual del sistema (línea base verificada 2026-05-09)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Apple M4 Pro · 12 cores · 24 GB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Sequoia 26.4.1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4.6.0 (2026-04-24) arm64 + Apple Accelerate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</w:t>
            </w:r>
          </w:p>
        </w:tc>
        <w:tc>
          <w:tcPr/>
          <w:p>
            <w:pPr>
              <w:pStyle w:val="Compact"/>
            </w:pPr>
            <w:r>
              <w:t xml:space="preserve">1.9.37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3.9.0.2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xelatex / pdflatex</w:t>
            </w:r>
          </w:p>
        </w:tc>
        <w:tc>
          <w:tcPr/>
          <w:p>
            <w:pPr>
              <w:pStyle w:val="Compact"/>
            </w:pPr>
            <w:r>
              <w:t xml:space="preserve">NO instalado</w:t>
            </w:r>
          </w:p>
        </w:tc>
        <w:tc>
          <w:tcPr/>
          <w:p>
            <w:pPr>
              <w:pStyle w:val="Compact"/>
            </w:pPr>
            <w:r>
              <w:t xml:space="preserve">✗ — requerirá MacTeX o equivalente para PDF 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venv</w:t>
            </w:r>
          </w:p>
        </w:tc>
        <w:tc>
          <w:tcPr/>
          <w:p>
            <w:pPr>
              <w:pStyle w:val="Compact"/>
            </w:pPr>
            <w:r>
              <w:t xml:space="preserve">PyWavelets, EMD-signal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~/Research/PTP_JCEM/</w:t>
            </w:r>
            <w:r>
              <w:t xml:space="preserve"> </w:t>
            </w:r>
            <w:r>
              <w:t xml:space="preserve">(00_setup → 04_manuscript)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corpus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master_table.csv</w:t>
            </w:r>
            <w:r>
              <w:t xml:space="preserve"> </w:t>
            </w:r>
            <w:r>
              <w:t xml:space="preserve">SHA-256</w:t>
            </w:r>
            <w:r>
              <w:t xml:space="preserve"> </w:t>
            </w:r>
            <w:r>
              <w:rPr>
                <w:rStyle w:val="VerbatimChar"/>
              </w:rPr>
              <w:t xml:space="preserve">2829cd78…</w:t>
            </w:r>
          </w:p>
        </w:tc>
        <w:tc>
          <w:tcPr/>
          <w:p>
            <w:pPr>
              <w:pStyle w:val="Compact"/>
            </w:pPr>
            <w:r>
              <w:t xml:space="preserve">✓ congelado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03_outputs/lancet_run_2026-05-08/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04_manuscript/lancet_de_submission_package/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OSF pre-registration</w:t>
            </w:r>
          </w:p>
        </w:tc>
        <w:tc>
          <w:tcPr/>
          <w:p>
            <w:pPr>
              <w:pStyle w:val="Compact"/>
            </w:pPr>
            <w:r>
              <w:t xml:space="preserve">DOI 10.17605/OSF.IO/3CZRE · proyecto</w:t>
            </w:r>
            <w:r>
              <w:t xml:space="preserve"> </w:t>
            </w:r>
            <w:r>
              <w:rPr>
                <w:rStyle w:val="VerbatimChar"/>
              </w:rPr>
              <w:t xml:space="preserve">tr469</w:t>
            </w:r>
            <w:r>
              <w:t xml:space="preserve"> </w:t>
            </w:r>
            <w:r>
              <w:t xml:space="preserve">· frozen 2026-04-22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Zenodo</w:t>
            </w:r>
          </w:p>
        </w:tc>
        <w:tc>
          <w:tcPr/>
          <w:p>
            <w:pPr>
              <w:pStyle w:val="Compact"/>
            </w:pPr>
            <w:r>
              <w:t xml:space="preserve">concept DOI 10.5281/zenodo.19743544 · v1.3 DOI 10.5281/zenodo.19758429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sv8wmxnbp8-hash/EPP10</w:t>
            </w:r>
            <w:r>
              <w:t xml:space="preserve"> </w:t>
            </w:r>
            <w:r>
              <w:t xml:space="preserve">v1·3 · CC-BY 4·0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definición-de-la-trilogía-fdep-tp"/>
    <w:p>
      <w:pPr>
        <w:pStyle w:val="Heading2"/>
      </w:pPr>
      <w:r>
        <w:t xml:space="preserve">1 · Definición de la trilogía FDEP-TP</w:t>
      </w:r>
    </w:p>
    <w:p>
      <w:pPr>
        <w:pStyle w:val="FirstParagraph"/>
      </w:pPr>
      <w:r>
        <w:t xml:space="preserve">Las tres piezas comparten datos (</w:t>
      </w:r>
      <w:r>
        <w:rPr>
          <w:rStyle w:val="VerbatimChar"/>
        </w:rPr>
        <w:t xml:space="preserve">master_table.csv</w:t>
      </w:r>
      <w:r>
        <w:t xml:space="preserve">), pre-registro OSF, depósito Zenodo y GitHub, y framework taxonómico FDEP-TP (renombrado de PTP/IEP en este corpus para reforzar la marca arquitectónica). Cada artículo enfatiza</w:t>
      </w:r>
      <w:r>
        <w:t xml:space="preserve"> </w:t>
      </w:r>
      <w:r>
        <w:rPr>
          <w:b/>
          <w:bCs/>
        </w:rPr>
        <w:t xml:space="preserve">una de las tres capas jerárquicas L1 → L2 → L3</w:t>
      </w:r>
      <w:r>
        <w:t xml:space="preserve"> </w:t>
      </w:r>
      <w:r>
        <w:t xml:space="preserve">del marco.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Título de trabajo</w:t>
            </w:r>
          </w:p>
        </w:tc>
        <w:tc>
          <w:tcPr/>
          <w:p>
            <w:pPr>
              <w:pStyle w:val="Compact"/>
            </w:pPr>
            <w:r>
              <w:t xml:space="preserve">Foco</w:t>
            </w:r>
          </w:p>
        </w:tc>
        <w:tc>
          <w:tcPr/>
          <w:p>
            <w:pPr>
              <w:pStyle w:val="Compact"/>
            </w:pPr>
            <w:r>
              <w:t xml:space="preserve">Audiencia primaria</w:t>
            </w:r>
          </w:p>
        </w:tc>
        <w:tc>
          <w:tcPr/>
          <w:p>
            <w:pPr>
              <w:pStyle w:val="Compact"/>
            </w:pPr>
            <w:r>
              <w:t xml:space="preserve">Display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ontológica/fisiológica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Multivariate functional principal component eigenfunctions of the entero-pancreatic system: conceptual and physiological foundations of the FDEP-TP framework for periprandial phenotype characterisation</w:t>
            </w:r>
          </w:p>
        </w:tc>
        <w:tc>
          <w:tcPr/>
          <w:p>
            <w:pPr>
              <w:pStyle w:val="Compact"/>
            </w:pPr>
            <w:r>
              <w:t xml:space="preserve">Marco conceptual; los 4 ejes de covariación inter-hormonal con interpretación fisiológica directa; oscilador secreción↔inhibición;</w:t>
            </w:r>
            <w:r>
              <w:t xml:space="preserve"> </w:t>
            </w:r>
            <w:r>
              <w:t xml:space="preserve">“physiologic periprandial responsiveness”</w:t>
            </w:r>
            <w:r>
              <w:t xml:space="preserve"> </w:t>
            </w:r>
            <w:r>
              <w:t xml:space="preserve">reemplaza</w:t>
            </w:r>
            <w:r>
              <w:t xml:space="preserve"> </w:t>
            </w:r>
            <w:r>
              <w:t xml:space="preserve">“secretory capacity”</w:t>
            </w:r>
          </w:p>
        </w:tc>
        <w:tc>
          <w:tcPr/>
          <w:p>
            <w:pPr>
              <w:pStyle w:val="Compact"/>
            </w:pPr>
            <w:r>
              <w:t xml:space="preserve">Endocrinólogos clínicos, fisiólogos, internistas</w:t>
            </w:r>
          </w:p>
        </w:tc>
        <w:tc>
          <w:tcPr/>
          <w:p>
            <w:pPr>
              <w:pStyle w:val="Compact"/>
            </w:pPr>
            <w:r>
              <w:t xml:space="preserve">DI1: arquitectura H-product · DI2: 4 eigenfunctions con anotación fisiológica · DI3: trayectorias media ± banda · DI4: heatmap PTP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axiomática + L3 estadística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Mathematical and statistical foundations of the FDEP-TP framework: covariance operators, spectral decomposition, and BLUP estimation in sparse periprandial data</w:t>
            </w:r>
          </w:p>
        </w:tc>
        <w:tc>
          <w:tcPr/>
          <w:p>
            <w:pPr>
              <w:pStyle w:val="Compact"/>
            </w:pPr>
            <w:r>
              <w:t xml:space="preserve">8 axiomas como teoremas; descomposición Karhunen-Loève multivariada; estimación FACEs/PACE no paramétrica del kernel; BLUP scores; Chiou normalisation; Happ-Greven PSD-by-construction; Golovkine 2025 K selection</w:t>
            </w:r>
          </w:p>
        </w:tc>
        <w:tc>
          <w:tcPr/>
          <w:p>
            <w:pPr>
              <w:pStyle w:val="Compact"/>
            </w:pPr>
            <w:r>
              <w:t xml:space="preserve">Bioestadísticos, metodólogos FDA</w:t>
            </w:r>
          </w:p>
        </w:tc>
        <w:tc>
          <w:tcPr/>
          <w:p>
            <w:pPr>
              <w:pStyle w:val="Compact"/>
            </w:pPr>
            <w:r>
              <w:t xml:space="preserve">DI1: schema KL multivariado · DI2: kernel estimation pipeline · DI3: eigenvalue spectrum + FVE · DI4: BLUP score recovery + simultaneous bands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procedural + traslacional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Methodological and translational foundations of the FDEP-TP framework: PACE-mFPCA pipeline, PTP/IEP classification, and clinical implications across obesity, type 2 diabetes, and metabolic surgery</w:t>
            </w:r>
          </w:p>
        </w:tc>
        <w:tc>
          <w:tcPr/>
          <w:p>
            <w:pPr>
              <w:pStyle w:val="Compact"/>
            </w:pPr>
            <w:r>
              <w:t xml:space="preserve">Protocolo estandarizado de adquisición; pipeline computacional 16 scripts R; criterios diagnósticos cuantitativos PTP/IEP Tipos I–V; implicaciones terapéuticas (selección de agonistas, indicación de cirugía metabólica)</w:t>
            </w:r>
          </w:p>
        </w:tc>
        <w:tc>
          <w:tcPr/>
          <w:p>
            <w:pPr>
              <w:pStyle w:val="Compact"/>
            </w:pPr>
            <w:r>
              <w:t xml:space="preserve">Clínicos, cirujanos metabólicos, investigadores traslacionales</w:t>
            </w:r>
          </w:p>
        </w:tc>
        <w:tc>
          <w:tcPr/>
          <w:p>
            <w:pPr>
              <w:pStyle w:val="Compact"/>
            </w:pPr>
            <w:r>
              <w:t xml:space="preserve">DI1: protocolo de adquisición · DI2: pipeline computacional · DI3: prevalencia IEP por cohorte · DI4: árbol decisional terapéutico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Diferenciación inequívoca.</w:t>
      </w:r>
      <w:r>
        <w:t xml:space="preserve"> </w:t>
      </w:r>
      <w:r>
        <w:t xml:space="preserve">Los tres artículos NO duplican findings; cada uno es una pieza autocontenida con</w:t>
      </w:r>
      <w:r>
        <w:t xml:space="preserve"> </w:t>
      </w:r>
      <w:r>
        <w:rPr>
          <w:b/>
          <w:bCs/>
        </w:rPr>
        <w:t xml:space="preserve">sus propios resultados primarios</w:t>
      </w:r>
      <w:r>
        <w:t xml:space="preserve"> </w:t>
      </w:r>
      <w:r>
        <w:t xml:space="preserve">anclados en su capa: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A1</w:t>
      </w:r>
      <w:r>
        <w:t xml:space="preserve">: descomposición de varianza inter-hormonal (4 ejes), PC1 incretínico=0·211, dominancia PYY 0·76 — interpretación fisiológica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A2</w:t>
      </w:r>
      <w:r>
        <w:t xml:space="preserve">: teoremas L2·1–L2·8 con prueba citada, K=12 por criterio Golovkine, N/K=29·2, eigenvalues, kernel FACEs vs PACE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A3</w:t>
      </w:r>
      <w:r>
        <w:t xml:space="preserve">: prevalencia Tipos I–V por cohorte, RYGBP V=43·3%, SG V=30·7%, T2DM III·I=29·5%, árbol decisional clínico</w:t>
      </w:r>
    </w:p>
    <w:p>
      <w:r>
        <w:pict>
          <v:rect style="width:0;height:1.5pt" o:hralign="center" o:hrstd="t" o:hr="t"/>
        </w:pict>
      </w:r>
    </w:p>
    <w:bookmarkEnd w:id="10"/>
    <w:bookmarkStart w:id="16" w:name="optimización-del-mac-mini-m4-pro-24-gb"/>
    <w:p>
      <w:pPr>
        <w:pStyle w:val="Heading2"/>
      </w:pPr>
      <w:r>
        <w:t xml:space="preserve">2 · Optimización del Mac mini M4 Pro 24 GB</w:t>
      </w:r>
    </w:p>
    <w:bookmarkStart w:id="11" w:name="blas-y-paralelismo-r"/>
    <w:p>
      <w:pPr>
        <w:pStyle w:val="Heading3"/>
      </w:pPr>
      <w:r>
        <w:t xml:space="preserve">2·1 BLAS y paralelismo R</w:t>
      </w:r>
    </w:p>
    <w:p>
      <w:pPr>
        <w:pStyle w:val="FirstParagraph"/>
      </w:pPr>
      <w:r>
        <w:t xml:space="preserve">Verificar que R 4.6 use Apple Accelerate (no OpenBLAS genérico):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BLAS</w:t>
      </w:r>
      <w:r>
        <w:br/>
      </w:r>
      <w:r>
        <w:rPr>
          <w:rStyle w:val="CommentTok"/>
        </w:rPr>
        <w:t xml:space="preserve"># Esperado: /System/Library/Frameworks/Accelerate.framework/Versions/A/...</w:t>
      </w:r>
    </w:p>
    <w:p>
      <w:pPr>
        <w:pStyle w:val="FirstParagraph"/>
      </w:pPr>
      <w:r>
        <w:t xml:space="preserve">Para mFPCA con n=2,750 sujetos × 9 hormonas × 9 puntos temporales, la diagonalización del operador conjunto es el cuello de botella. Apple Accelerate provee ~150× speed-up sobre Reference BLAS; verificar con benchmark</w:t>
      </w:r>
      <w:r>
        <w:t xml:space="preserve"> </w:t>
      </w:r>
      <w:r>
        <w:rPr>
          <w:rStyle w:val="VerbatimChar"/>
        </w:rPr>
        <w:t xml:space="preserve">bench::system_time(eigen(matrix(rnorm(2000^2), 2000)))</w:t>
      </w:r>
      <w:r>
        <w:t xml:space="preserve"> </w:t>
      </w:r>
      <w:r>
        <w:t xml:space="preserve">&lt; 1 s.</w:t>
      </w:r>
    </w:p>
    <w:p>
      <w:pPr>
        <w:pStyle w:val="SourceCode"/>
      </w:pPr>
      <w:r>
        <w:rPr>
          <w:rStyle w:val="NormalTok"/>
        </w:rPr>
        <w:t xml:space="preserve">future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plan</w:t>
      </w:r>
      <w:r>
        <w:rPr>
          <w:rStyle w:val="NormalTok"/>
        </w:rPr>
        <w:t xml:space="preserve">(future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multisession, </w:t>
      </w:r>
      <w:r>
        <w:rPr>
          <w:rStyle w:val="AttributeTok"/>
        </w:rPr>
        <w:t xml:space="preserve">workers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8 de 12 cores; reserva 4 para SO + render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future.globals.maxSize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8 GB cap por worker</w:t>
      </w:r>
    </w:p>
    <w:bookmarkEnd w:id="11"/>
    <w:bookmarkStart w:id="12" w:name="memoria"/>
    <w:p>
      <w:pPr>
        <w:pStyle w:val="Heading3"/>
      </w:pPr>
      <w:r>
        <w:t xml:space="preserve">2·2 Memoria</w:t>
      </w:r>
    </w:p>
    <w:p>
      <w:pPr>
        <w:pStyle w:val="FirstParagraph"/>
      </w:pPr>
      <w:r>
        <w:t xml:space="preserve">Los archivos</w:t>
      </w:r>
      <w:r>
        <w:t xml:space="preserve"> </w:t>
      </w:r>
      <w:r>
        <w:rPr>
          <w:rStyle w:val="VerbatimChar"/>
        </w:rPr>
        <w:t xml:space="preserve">mfpca_canonical.rds</w:t>
      </w:r>
      <w:r>
        <w:t xml:space="preserve"> </w:t>
      </w:r>
      <w:r>
        <w:t xml:space="preserve">(~2·5 MB) y</w:t>
      </w:r>
      <w:r>
        <w:t xml:space="preserve"> </w:t>
      </w:r>
      <w:r>
        <w:rPr>
          <w:rStyle w:val="VerbatimChar"/>
        </w:rPr>
        <w:t xml:space="preserve">bootstrap_envelopes.rds</w:t>
      </w:r>
      <w:r>
        <w:t xml:space="preserve"> </w:t>
      </w:r>
      <w:r>
        <w:t xml:space="preserve">(~10 KB) son ligeros, pero el bootstrap de clasificación B=2000 con N=2,750 puede picar 6–8 GB transitoriamente.</w:t>
      </w:r>
      <w:r>
        <w:t xml:space="preserve"> </w:t>
      </w:r>
      <w:r>
        <w:rPr>
          <w:b/>
          <w:bCs/>
        </w:rPr>
        <w:t xml:space="preserve">Política de RAM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Cerrar Chrome/Safari durante runs MFPCA y bootstrap</w:t>
      </w:r>
    </w:p>
    <w:p>
      <w:pPr>
        <w:pStyle w:val="Compact"/>
        <w:numPr>
          <w:ilvl w:val="0"/>
          <w:numId w:val="1001"/>
        </w:numPr>
      </w:pPr>
      <w:r>
        <w:t xml:space="preserve">Monitor RAM con</w:t>
      </w:r>
      <w:r>
        <w:t xml:space="preserve"> </w:t>
      </w:r>
      <w:r>
        <w:rPr>
          <w:rStyle w:val="VerbatimChar"/>
        </w:rPr>
        <w:t xml:space="preserve">vm_stat</w:t>
      </w:r>
      <w:r>
        <w:t xml:space="preserve"> </w:t>
      </w:r>
      <w:r>
        <w:t xml:space="preserve">cada 30 s durante ejecución larga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data.table::setDTthreads(8)</w:t>
      </w:r>
      <w:r>
        <w:t xml:space="preserve"> </w:t>
      </w:r>
      <w:r>
        <w:t xml:space="preserve">para I/O de parquet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arrow::set_cpu_count(8)</w:t>
      </w:r>
      <w:r>
        <w:t xml:space="preserve"> </w:t>
      </w:r>
      <w:r>
        <w:t xml:space="preserve">para lectura columnar</w:t>
      </w:r>
    </w:p>
    <w:bookmarkEnd w:id="12"/>
    <w:bookmarkStart w:id="13" w:name="almacenamiento-y-caching"/>
    <w:p>
      <w:pPr>
        <w:pStyle w:val="Heading3"/>
      </w:pPr>
      <w:r>
        <w:t xml:space="preserve">2·3 Almacenamiento y caching</w:t>
      </w:r>
    </w:p>
    <w:p>
      <w:pPr>
        <w:pStyle w:val="SourceCode"/>
      </w:pPr>
      <w:r>
        <w:rPr>
          <w:rStyle w:val="CommentTok"/>
        </w:rPr>
        <w:t xml:space="preserve"># Cache de Quarto: limitar a 2 GB para evitar disk pressure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cache clear</w:t>
      </w:r>
      <w:r>
        <w:br/>
      </w:r>
      <w:r>
        <w:rPr>
          <w:rStyle w:val="ExtensionTok"/>
        </w:rPr>
        <w:t xml:space="preserve">defaults</w:t>
      </w:r>
      <w:r>
        <w:rPr>
          <w:rStyle w:val="NormalTok"/>
        </w:rPr>
        <w:t xml:space="preserve"> write com.quarto.QuartoApp CacheSizeMB </w:t>
      </w:r>
      <w:r>
        <w:rPr>
          <w:rStyle w:val="AttributeTok"/>
        </w:rPr>
        <w:t xml:space="preserve">-int</w:t>
      </w:r>
      <w:r>
        <w:rPr>
          <w:rStyle w:val="NormalTok"/>
        </w:rPr>
        <w:t xml:space="preserve"> 2048</w:t>
      </w:r>
    </w:p>
    <w:p>
      <w:pPr>
        <w:pStyle w:val="FirstParagraph"/>
      </w:pPr>
      <w:r>
        <w:t xml:space="preserve">Workspace en SSD interno (no iCloud sync para el directorio</w:t>
      </w:r>
      <w:r>
        <w:t xml:space="preserve"> </w:t>
      </w:r>
      <w:r>
        <w:rPr>
          <w:rStyle w:val="VerbatimChar"/>
        </w:rPr>
        <w:t xml:space="preserve">01_data/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03_outputs/</w:t>
      </w:r>
      <w:r>
        <w:t xml:space="preserve">).</w:t>
      </w:r>
    </w:p>
    <w:bookmarkEnd w:id="13"/>
    <w:bookmarkStart w:id="14" w:name="X62f3a4b8a763b346686f33174074fd40cfb6fa5"/>
    <w:p>
      <w:pPr>
        <w:pStyle w:val="Heading3"/>
      </w:pPr>
      <w:r>
        <w:t xml:space="preserve">2·4 Instalación pendiente: TeX para PDF nativo</w:t>
      </w:r>
    </w:p>
    <w:p>
      <w:pPr>
        <w:pStyle w:val="SourceCode"/>
      </w:pPr>
      <w:r>
        <w:rPr>
          <w:rStyle w:val="CommentTok"/>
        </w:rPr>
        <w:t xml:space="preserve"># Opción A: BasicTeX (~80 MB, suficiente para Lancet)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basictex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tlmgr update </w:t>
      </w:r>
      <w:r>
        <w:rPr>
          <w:rStyle w:val="AttributeTok"/>
        </w:rPr>
        <w:t xml:space="preserve">--self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tlmgr install collection-fontsrecommended xetex unicode-math fontspec mathtools tabularx booktabs caption</w:t>
      </w:r>
      <w:r>
        <w:br/>
      </w:r>
      <w:r>
        <w:br/>
      </w:r>
      <w:r>
        <w:rPr>
          <w:rStyle w:val="CommentTok"/>
        </w:rPr>
        <w:t xml:space="preserve"># Opción B: MacTeX completo (~5 GB)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mactex-no-gui</w:t>
      </w:r>
    </w:p>
    <w:p>
      <w:pPr>
        <w:pStyle w:val="FirstParagraph"/>
      </w:pPr>
      <w:r>
        <w:t xml:space="preserve">Después de BasicTeX, restaurar</w:t>
      </w:r>
      <w:r>
        <w:t xml:space="preserve"> </w:t>
      </w:r>
      <w:r>
        <w:rPr>
          <w:rStyle w:val="VerbatimChar"/>
        </w:rPr>
        <w:t xml:space="preserve">format: pdf</w:t>
      </w:r>
      <w:r>
        <w:t xml:space="preserve"> </w:t>
      </w:r>
      <w:r>
        <w:t xml:space="preserve">en YAML del .qmd.</w:t>
      </w:r>
    </w:p>
    <w:bookmarkEnd w:id="14"/>
    <w:bookmarkStart w:id="15" w:name="wordpages-para-verificación-visual-final"/>
    <w:p>
      <w:pPr>
        <w:pStyle w:val="Heading3"/>
      </w:pPr>
      <w:r>
        <w:t xml:space="preserve">2·5 Word/Pages para verificación visual final</w:t>
      </w:r>
    </w:p>
    <w:p>
      <w:pPr>
        <w:pStyle w:val="FirstParagraph"/>
      </w:pPr>
      <w:r>
        <w:t xml:space="preserve">Lancet acepta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como formato canónico. Para verificación pre-submission: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libreoffice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microsoft-word  </w:t>
      </w:r>
      <w:r>
        <w:rPr>
          <w:rStyle w:val="CommentTok"/>
        </w:rPr>
        <w:t xml:space="preserve"># si licencia disponible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optimización-del-stack-de-software"/>
    <w:p>
      <w:pPr>
        <w:pStyle w:val="Heading2"/>
      </w:pPr>
      <w:r>
        <w:t xml:space="preserve">3 · Optimización del stack de software</w:t>
      </w:r>
    </w:p>
    <w:bookmarkStart w:id="17" w:name="X9da33eb971745fad728f83d8d8f52b907fdbb98"/>
    <w:p>
      <w:pPr>
        <w:pStyle w:val="Heading3"/>
      </w:pPr>
      <w:r>
        <w:t xml:space="preserve">3·1 R packages canónicos (ya instalados — verificar versiones)</w:t>
      </w:r>
    </w:p>
    <w:p>
      <w:pPr>
        <w:pStyle w:val="SourceCode"/>
      </w:pPr>
      <w:r>
        <w:rPr>
          <w:rStyle w:val="NormalTok"/>
        </w:rPr>
        <w:t xml:space="preserve">required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"fdapace"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"0.6.0"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PACE FPCA (sensitivity)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"face"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"0.1-7"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FACEs sparse covariance (primary)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"MFPCA"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"1.3-11"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Happ-Greven multivariate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"funData"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"1.3-9"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Functional data containers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"fdasrvf"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SRSF registration (L3·6)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"mgcv"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"1.9"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GAM smoothing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"pointblank"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"0.12"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Data validation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"irr"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"0.84"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Cohen kappa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"data.table"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Fast I/O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"arrow"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Parquet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"future"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Parallelism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"bench"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Benchmarking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Plotting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Multi-panel layout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"ggsci"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Lancet color palette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"officer"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Word table customisation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"flextable"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Lancet-style tables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"WebPlotDigitizer"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Verification only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Verificar con:</w:t>
      </w:r>
      <w:r>
        <w:br/>
      </w:r>
      <w:r>
        <w:rPr>
          <w:rStyle w:val="CommentTok"/>
        </w:rPr>
        <w:t xml:space="preserve"># installed.packages()[,c("Package","Version")] %&gt;% as.data.frame() %&gt;% filter(Package %in% names(required))</w:t>
      </w:r>
    </w:p>
    <w:p>
      <w:pPr>
        <w:pStyle w:val="FirstParagraph"/>
      </w:pPr>
      <w:r>
        <w:rPr>
          <w:b/>
          <w:bCs/>
        </w:rPr>
        <w:t xml:space="preserve">Paquete nuevo a añadir para A1/A2/A3:</w:t>
      </w:r>
      <w:r>
        <w:t xml:space="preserve"> </w:t>
      </w:r>
      <w:r>
        <w:rPr>
          <w:rStyle w:val="VerbatimChar"/>
        </w:rPr>
        <w:t xml:space="preserve">ggsci::scale_color_lancet()</w:t>
      </w:r>
      <w:r>
        <w:t xml:space="preserve"> </w:t>
      </w:r>
      <w:r>
        <w:t xml:space="preserve">provee la paleta oficial de The Lancet (rojos, naranjas, azules) compatible con daltonismo.</w:t>
      </w:r>
    </w:p>
    <w:bookmarkEnd w:id="17"/>
    <w:bookmarkStart w:id="18" w:name="python-venv-ya-configurado"/>
    <w:p>
      <w:pPr>
        <w:pStyle w:val="Heading3"/>
      </w:pPr>
      <w:r>
        <w:t xml:space="preserve">3·2 Python venv (ya configurado)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~/Research/PTP_JCEM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pywavelets emd-signal numpy scipy scikit-learn matplotlib seaborn</w:t>
      </w:r>
      <w:r>
        <w:br/>
      </w:r>
      <w:r>
        <w:rPr>
          <w:rStyle w:val="CommentTok"/>
        </w:rPr>
        <w:t xml:space="preserve"># Para A2 (cualquier diagnóstico espectral adicional)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pyts tslearn  </w:t>
      </w:r>
      <w:r>
        <w:rPr>
          <w:rStyle w:val="CommentTok"/>
        </w:rPr>
        <w:t xml:space="preserve"># time-series feature extraction</w:t>
      </w:r>
    </w:p>
    <w:bookmarkEnd w:id="18"/>
    <w:bookmarkStart w:id="19" w:name="quarto-lancet-template"/>
    <w:p>
      <w:pPr>
        <w:pStyle w:val="Heading3"/>
      </w:pPr>
      <w:r>
        <w:t xml:space="preserve">3·3 Quarto + Lancet template</w:t>
      </w:r>
    </w:p>
    <w:p>
      <w:pPr>
        <w:pStyle w:val="SourceCode"/>
      </w:pPr>
      <w:r>
        <w:rPr>
          <w:rStyle w:val="CommentTok"/>
        </w:rPr>
        <w:t xml:space="preserve"># Descargar plantilla Lancet (CSL + reference-doc)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https://raw.githubusercontent.com/citation-style-language/styles/master/the-lancet.csl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~/Research/PTP_JCEM/04_manuscript/lancet.csl</w:t>
      </w:r>
      <w:r>
        <w:br/>
      </w:r>
      <w:r>
        <w:br/>
      </w:r>
      <w:r>
        <w:rPr>
          <w:rStyle w:val="CommentTok"/>
        </w:rPr>
        <w:t xml:space="preserve"># Para reference-doc.docx con estilos Lancet — descargar de:</w:t>
      </w:r>
      <w:r>
        <w:br/>
      </w:r>
      <w:r>
        <w:rPr>
          <w:rStyle w:val="CommentTok"/>
        </w:rPr>
        <w:t xml:space="preserve"># https://www.thelancet.com/pb-assets/Lancet/authors/ldelancet-information-for-authors.pdf</w:t>
      </w:r>
      <w:r>
        <w:br/>
      </w:r>
      <w:r>
        <w:rPr>
          <w:rStyle w:val="CommentTok"/>
        </w:rPr>
        <w:t xml:space="preserve"># (template no público; usar default Quarto + ajuste manual en Word)</w:t>
      </w:r>
    </w:p>
    <w:p>
      <w:pPr>
        <w:pStyle w:val="FirstParagraph"/>
      </w:pPr>
      <w:r>
        <w:t xml:space="preserve">Restaurar en YAML de cada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reference-doc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lancet_template.docx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article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geometry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margin=2.2cm</w:t>
      </w:r>
      <w:r>
        <w:br/>
      </w:r>
      <w:r>
        <w:rPr>
          <w:rStyle w:val="FunctionTok"/>
        </w:rPr>
        <w:t xml:space="preserve">csl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lancet.csl</w:t>
      </w:r>
      <w:r>
        <w:br/>
      </w:r>
      <w:r>
        <w:rPr>
          <w:rStyle w:val="FunctionTok"/>
        </w:rPr>
        <w:t xml:space="preserve">bibliography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refs.bib</w:t>
      </w:r>
    </w:p>
    <w:bookmarkEnd w:id="19"/>
    <w:bookmarkStart w:id="20" w:name="gitgithub-configuración"/>
    <w:p>
      <w:pPr>
        <w:pStyle w:val="Heading3"/>
      </w:pPr>
      <w:r>
        <w:t xml:space="preserve">3·4 Git/GitHub configuración</w:t>
      </w:r>
    </w:p>
    <w:p>
      <w:pPr>
        <w:pStyle w:val="SourceCode"/>
      </w:pPr>
      <w:r>
        <w:rPr>
          <w:rStyle w:val="CommentTok"/>
        </w:rPr>
        <w:t xml:space="preserve"># Branches por artículo (para no contaminar el v1·3 del PTP/IEP master)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~/Research/PTP_JCEM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lancet-A1-conceptual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lancet-A2-mathematical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lancet-A3-methodological</w:t>
      </w:r>
    </w:p>
    <w:p>
      <w:pPr>
        <w:pStyle w:val="FirstParagraph"/>
      </w:pPr>
      <w:r>
        <w:t xml:space="preserve">GitHub remote: crear releases por artículo (</w:t>
      </w:r>
      <w:r>
        <w:rPr>
          <w:rStyle w:val="VerbatimChar"/>
        </w:rPr>
        <w:t xml:space="preserve">A1-v1.0</w:t>
      </w:r>
      <w:r>
        <w:t xml:space="preserve">,</w:t>
      </w:r>
      <w:r>
        <w:t xml:space="preserve"> </w:t>
      </w:r>
      <w:r>
        <w:rPr>
          <w:rStyle w:val="VerbatimChar"/>
        </w:rPr>
        <w:t xml:space="preserve">A2-v1.0</w:t>
      </w:r>
      <w:r>
        <w:t xml:space="preserve">,</w:t>
      </w:r>
      <w:r>
        <w:t xml:space="preserve"> </w:t>
      </w:r>
      <w:r>
        <w:rPr>
          <w:rStyle w:val="VerbatimChar"/>
        </w:rPr>
        <w:t xml:space="preserve">A3-v1.0</w:t>
      </w:r>
      <w:r>
        <w:t xml:space="preserve">) tras revisión.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a2cafa7e1717d1edbb728542770cff55adb8712"/>
    <w:p>
      <w:pPr>
        <w:pStyle w:val="Heading2"/>
      </w:pPr>
      <w:r>
        <w:t xml:space="preserve">4 · Arquitectura de identificadores y repositorios</w:t>
      </w:r>
    </w:p>
    <w:bookmarkStart w:id="22" w:name="estrategia-osf"/>
    <w:p>
      <w:pPr>
        <w:pStyle w:val="Heading3"/>
      </w:pPr>
      <w:r>
        <w:t xml:space="preserve">4·1 Estrategia OSF</w:t>
      </w:r>
    </w:p>
    <w:p>
      <w:pPr>
        <w:pStyle w:val="FirstParagraph"/>
      </w:pPr>
      <w:r>
        <w:rPr>
          <w:b/>
          <w:bCs/>
        </w:rPr>
        <w:t xml:space="preserve">Decisión recomendada.</w:t>
      </w:r>
      <w:r>
        <w:t xml:space="preserve"> </w:t>
      </w:r>
      <w:r>
        <w:t xml:space="preserve">Mantener</w:t>
      </w:r>
      <w:r>
        <w:t xml:space="preserve"> </w:t>
      </w:r>
      <w:r>
        <w:rPr>
          <w:rStyle w:val="VerbatimChar"/>
        </w:rPr>
        <w:t xml:space="preserve">OSF.IO/3CZRE</w:t>
      </w:r>
      <w:r>
        <w:t xml:space="preserve"> </w:t>
      </w:r>
      <w:r>
        <w:t xml:space="preserve">como pre-registro</w:t>
      </w:r>
      <w:r>
        <w:t xml:space="preserve"> </w:t>
      </w:r>
      <w:r>
        <w:rPr>
          <w:b/>
          <w:bCs/>
        </w:rPr>
        <w:t xml:space="preserve">paraguas</w:t>
      </w:r>
      <w:r>
        <w:t xml:space="preserve"> </w:t>
      </w:r>
      <w:r>
        <w:t xml:space="preserve">del marco FDEP-TP. Crear tres sub-componentes (</w:t>
      </w:r>
      <w:r>
        <w:rPr>
          <w:rStyle w:val="VerbatimChar"/>
        </w:rPr>
        <w:t xml:space="preserve">/A1</w:t>
      </w:r>
      <w:r>
        <w:t xml:space="preserve">,</w:t>
      </w:r>
      <w:r>
        <w:t xml:space="preserve"> </w:t>
      </w:r>
      <w:r>
        <w:rPr>
          <w:rStyle w:val="VerbatimChar"/>
        </w:rPr>
        <w:t xml:space="preserve">/A2</w:t>
      </w:r>
      <w:r>
        <w:t xml:space="preserve">,</w:t>
      </w:r>
      <w:r>
        <w:t xml:space="preserve"> </w:t>
      </w:r>
      <w:r>
        <w:rPr>
          <w:rStyle w:val="VerbatimChar"/>
        </w:rPr>
        <w:t xml:space="preserve">/A3</w:t>
      </w:r>
      <w:r>
        <w:t xml:space="preserve">) que apunten al pre-registro maestro y declaren el foco específico de cada artículo. Esto evita la fragmentación y mantiene la trazabilidad metodológica.</w:t>
      </w:r>
    </w:p>
    <w:p>
      <w:pPr>
        <w:pStyle w:val="BodyText"/>
      </w:pPr>
      <w:r>
        <w:t xml:space="preserve">Alternativa (sólo si OSF policy lo exige): tres pre-registros independientes con cross-reference.</w:t>
      </w:r>
    </w:p>
    <w:bookmarkEnd w:id="22"/>
    <w:bookmarkStart w:id="23" w:name="estrategia-zenodo"/>
    <w:p>
      <w:pPr>
        <w:pStyle w:val="Heading3"/>
      </w:pPr>
      <w:r>
        <w:t xml:space="preserve">4·2 Estrategia Zenodo</w:t>
      </w:r>
    </w:p>
    <w:p>
      <w:pPr>
        <w:pStyle w:val="FirstParagraph"/>
      </w:pPr>
      <w:r>
        <w:t xml:space="preserve">Estructura propuesta: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DOI esperado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10.5281/zenodo.19743544</w:t>
            </w:r>
          </w:p>
        </w:tc>
        <w:tc>
          <w:tcPr/>
          <w:p>
            <w:pPr>
              <w:pStyle w:val="Compact"/>
            </w:pPr>
            <w:r>
              <w:t xml:space="preserve">Master concept (sin cambios)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v1·3</w:t>
            </w:r>
          </w:p>
        </w:tc>
        <w:tc>
          <w:tcPr/>
          <w:p>
            <w:pPr>
              <w:pStyle w:val="Compact"/>
            </w:pPr>
            <w:r>
              <w:t xml:space="preserve">10.5281/zenodo.19758429</w:t>
            </w:r>
          </w:p>
        </w:tc>
        <w:tc>
          <w:tcPr/>
          <w:p>
            <w:pPr>
              <w:pStyle w:val="Compact"/>
            </w:pPr>
            <w:r>
              <w:t xml:space="preserve">Snapshot del run lancet 2026-05-08 (ya depositado)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v2·0-A1</w:t>
            </w:r>
          </w:p>
        </w:tc>
        <w:tc>
          <w:tcPr/>
          <w:p>
            <w:pPr>
              <w:pStyle w:val="Compact"/>
            </w:pPr>
            <w:r>
              <w:t xml:space="preserve">(nuevo)</w:t>
            </w:r>
          </w:p>
        </w:tc>
        <w:tc>
          <w:tcPr/>
          <w:p>
            <w:pPr>
              <w:pStyle w:val="Compact"/>
            </w:pPr>
            <w:r>
              <w:t xml:space="preserve">Snapshot tras A1 submission (mismo data, sólo manuscript A1 + DI A1)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v2·0-A2</w:t>
            </w:r>
          </w:p>
        </w:tc>
        <w:tc>
          <w:tcPr/>
          <w:p>
            <w:pPr>
              <w:pStyle w:val="Compact"/>
            </w:pPr>
            <w:r>
              <w:t xml:space="preserve">(nuevo)</w:t>
            </w:r>
          </w:p>
        </w:tc>
        <w:tc>
          <w:tcPr/>
          <w:p>
            <w:pPr>
              <w:pStyle w:val="Compact"/>
            </w:pPr>
            <w:r>
              <w:t xml:space="preserve">Snapshot tras A2 submission (mismo data, manuscript A2 + DI A2)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v2·0-A3</w:t>
            </w:r>
          </w:p>
        </w:tc>
        <w:tc>
          <w:tcPr/>
          <w:p>
            <w:pPr>
              <w:pStyle w:val="Compact"/>
            </w:pPr>
            <w:r>
              <w:t xml:space="preserve">(nuevo)</w:t>
            </w:r>
          </w:p>
        </w:tc>
        <w:tc>
          <w:tcPr/>
          <w:p>
            <w:pPr>
              <w:pStyle w:val="Compact"/>
            </w:pPr>
            <w:r>
              <w:t xml:space="preserve">Snapshot tras A3 submission (mismo data, manuscript A3 + DI A3 + protocol)</w:t>
            </w:r>
          </w:p>
        </w:tc>
      </w:tr>
    </w:tbl>
    <w:bookmarkEnd w:id="23"/>
    <w:bookmarkStart w:id="24" w:name="github-repository"/>
    <w:p>
      <w:pPr>
        <w:pStyle w:val="Heading3"/>
      </w:pPr>
      <w:r>
        <w:t xml:space="preserve">4·3 GitHub repository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branch: estado actual v1·3 (PTP/IEP Lancet manuscript empaquetado)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lancet-A1-conceptual</w:t>
      </w:r>
      <w:r>
        <w:t xml:space="preserve"> </w:t>
      </w:r>
      <w:r>
        <w:t xml:space="preserve">branch: A1 desarrollo (con</w:t>
      </w:r>
      <w:r>
        <w:t xml:space="preserve"> </w:t>
      </w:r>
      <w:r>
        <w:rPr>
          <w:rStyle w:val="VerbatimChar"/>
        </w:rPr>
        <w:t xml:space="preserve">04_manuscript/A1/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lancet-A2-mathematical</w:t>
      </w:r>
      <w:r>
        <w:t xml:space="preserve"> </w:t>
      </w:r>
      <w:r>
        <w:t xml:space="preserve">branch: A2 desarrollo (con</w:t>
      </w:r>
      <w:r>
        <w:t xml:space="preserve"> </w:t>
      </w:r>
      <w:r>
        <w:rPr>
          <w:rStyle w:val="VerbatimChar"/>
        </w:rPr>
        <w:t xml:space="preserve">04_manuscript/A2/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lancet-A3-methodological</w:t>
      </w:r>
      <w:r>
        <w:t xml:space="preserve"> </w:t>
      </w:r>
      <w:r>
        <w:t xml:space="preserve">branch: A3 desarrollo (con</w:t>
      </w:r>
      <w:r>
        <w:t xml:space="preserve"> </w:t>
      </w:r>
      <w:r>
        <w:rPr>
          <w:rStyle w:val="VerbatimChar"/>
        </w:rPr>
        <w:t xml:space="preserve">04_manuscript/A3/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Tags:</w:t>
      </w:r>
      <w:r>
        <w:t xml:space="preserve"> </w:t>
      </w:r>
      <w:r>
        <w:rPr>
          <w:rStyle w:val="VerbatimChar"/>
        </w:rPr>
        <w:t xml:space="preserve">A1-submitted-YYYY-MM-DD</w:t>
      </w:r>
      <w:r>
        <w:t xml:space="preserve">,</w:t>
      </w:r>
      <w:r>
        <w:t xml:space="preserve"> </w:t>
      </w:r>
      <w:r>
        <w:rPr>
          <w:rStyle w:val="VerbatimChar"/>
        </w:rPr>
        <w:t xml:space="preserve">A2-submitted-YYYY-MM-DD</w:t>
      </w:r>
      <w:r>
        <w:t xml:space="preserve">,</w:t>
      </w:r>
      <w:r>
        <w:t xml:space="preserve"> </w:t>
      </w:r>
      <w:r>
        <w:rPr>
          <w:rStyle w:val="VerbatimChar"/>
        </w:rPr>
        <w:t xml:space="preserve">A3-submitted-YYYY-MM-DD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structura-de-workspace-propuesta"/>
    <w:p>
      <w:pPr>
        <w:pStyle w:val="Heading2"/>
      </w:pPr>
      <w:r>
        <w:t xml:space="preserve">5 · Estructura de workspace propuesta</w:t>
      </w:r>
    </w:p>
    <w:p>
      <w:pPr>
        <w:pStyle w:val="SourceCode"/>
      </w:pPr>
      <w:r>
        <w:rPr>
          <w:rStyle w:val="VerbatimChar"/>
        </w:rPr>
        <w:t xml:space="preserve">~/Research/PTP_JCEM/</w:t>
      </w:r>
      <w:r>
        <w:br/>
      </w:r>
      <w:r>
        <w:rPr>
          <w:rStyle w:val="VerbatimChar"/>
        </w:rPr>
        <w:t xml:space="preserve">├── 00_setup/                              # Scripts de inicialización</w:t>
      </w:r>
      <w:r>
        <w:br/>
      </w:r>
      <w:r>
        <w:rPr>
          <w:rStyle w:val="VerbatimChar"/>
        </w:rPr>
        <w:t xml:space="preserve">├── 01_data/</w:t>
      </w:r>
      <w:r>
        <w:br/>
      </w:r>
      <w:r>
        <w:rPr>
          <w:rStyle w:val="VerbatimChar"/>
        </w:rPr>
        <w:t xml:space="preserve">│   ├── raw/master_table.csv              # SHA-256 2829cd78… (frozen)</w:t>
      </w:r>
      <w:r>
        <w:br/>
      </w:r>
      <w:r>
        <w:rPr>
          <w:rStyle w:val="VerbatimChar"/>
        </w:rPr>
        <w:t xml:space="preserve">│   └── processed/                        # Outputs de 01_harmonize.R</w:t>
      </w:r>
      <w:r>
        <w:br/>
      </w:r>
      <w:r>
        <w:rPr>
          <w:rStyle w:val="VerbatimChar"/>
        </w:rPr>
        <w:t xml:space="preserve">├── 02_code/                              # 16 scripts R (sin cambios)</w:t>
      </w:r>
      <w:r>
        <w:br/>
      </w:r>
      <w:r>
        <w:rPr>
          <w:rStyle w:val="VerbatimChar"/>
        </w:rPr>
        <w:t xml:space="preserve">│   ├── 01_harmonize.R                    # ingest + GP AR(1)</w:t>
      </w:r>
      <w:r>
        <w:br/>
      </w:r>
      <w:r>
        <w:rPr>
          <w:rStyle w:val="VerbatimChar"/>
        </w:rPr>
        <w:t xml:space="preserve">│   ├── 02_fpca_pace.R                    # PACE univariate (sensitivity)</w:t>
      </w:r>
      <w:r>
        <w:br/>
      </w:r>
      <w:r>
        <w:rPr>
          <w:rStyle w:val="VerbatimChar"/>
        </w:rPr>
        <w:t xml:space="preserve">│   ├── 03_mfpca_happgreven.R             # FACEs + Happ-Greven (primary)</w:t>
      </w:r>
      <w:r>
        <w:br/>
      </w:r>
      <w:r>
        <w:rPr>
          <w:rStyle w:val="VerbatimChar"/>
        </w:rPr>
        <w:t xml:space="preserve">│   ├── 04b_srsf_registration.R           # SRSF L3·6</w:t>
      </w:r>
      <w:r>
        <w:br/>
      </w:r>
      <w:r>
        <w:rPr>
          <w:rStyle w:val="VerbatimChar"/>
        </w:rPr>
        <w:t xml:space="preserve">│   ├── 05_classify_ptp.R                 # 9-label PTP</w:t>
      </w:r>
      <w:r>
        <w:br/>
      </w:r>
      <w:r>
        <w:rPr>
          <w:rStyle w:val="VerbatimChar"/>
        </w:rPr>
        <w:t xml:space="preserve">│   ├── 05b_iep_perm.R                    # 8-rule IEP types</w:t>
      </w:r>
      <w:r>
        <w:br/>
      </w:r>
      <w:r>
        <w:rPr>
          <w:rStyle w:val="VerbatimChar"/>
        </w:rPr>
        <w:t xml:space="preserve">│   ├── 06_inference.R                    # Pillai + FANOVA</w:t>
      </w:r>
      <w:r>
        <w:br/>
      </w:r>
      <w:r>
        <w:rPr>
          <w:rStyle w:val="VerbatimChar"/>
        </w:rPr>
        <w:t xml:space="preserve">│   ├── 06b_mahalanobis.R                 # Mahalanobis distances</w:t>
      </w:r>
      <w:r>
        <w:br/>
      </w:r>
      <w:r>
        <w:rPr>
          <w:rStyle w:val="VerbatimChar"/>
        </w:rPr>
        <w:t xml:space="preserve">│   ├── 07_bootstrap.R                    # B=50 pipeline + B=2000 classification</w:t>
      </w:r>
      <w:r>
        <w:br/>
      </w:r>
      <w:r>
        <w:rPr>
          <w:rStyle w:val="VerbatimChar"/>
        </w:rPr>
        <w:t xml:space="preserve">│   ├── 08_figures.R                      # Generic figures</w:t>
      </w:r>
      <w:r>
        <w:br/>
      </w:r>
      <w:r>
        <w:rPr>
          <w:rStyle w:val="VerbatimChar"/>
        </w:rPr>
        <w:t xml:space="preserve">│   ├── 08b_lancet_figs.R                 # Lancet-aesthetic</w:t>
      </w:r>
      <w:r>
        <w:br/>
      </w:r>
      <w:r>
        <w:rPr>
          <w:rStyle w:val="VerbatimChar"/>
        </w:rPr>
        <w:t xml:space="preserve">│   └── 09_sensitivity.R                  # 4 pre-specified</w:t>
      </w:r>
      <w:r>
        <w:br/>
      </w:r>
      <w:r>
        <w:rPr>
          <w:rStyle w:val="VerbatimChar"/>
        </w:rPr>
        <w:t xml:space="preserve">├── 03_outputs/</w:t>
      </w:r>
      <w:r>
        <w:br/>
      </w:r>
      <w:r>
        <w:rPr>
          <w:rStyle w:val="VerbatimChar"/>
        </w:rPr>
        <w:t xml:space="preserve">│   ├── lancet_run_2026-05-08/            # PTP/IEP master run (frozen)</w:t>
      </w:r>
      <w:r>
        <w:br/>
      </w:r>
      <w:r>
        <w:rPr>
          <w:rStyle w:val="VerbatimChar"/>
        </w:rPr>
        <w:t xml:space="preserve">│   ├── A1_run_YYYY-MM-DD/                # A1-specific outputs (subset of master)</w:t>
      </w:r>
      <w:r>
        <w:br/>
      </w:r>
      <w:r>
        <w:rPr>
          <w:rStyle w:val="VerbatimChar"/>
        </w:rPr>
        <w:t xml:space="preserve">│   ├── A2_run_YYYY-MM-DD/                # A2-specific outputs</w:t>
      </w:r>
      <w:r>
        <w:br/>
      </w:r>
      <w:r>
        <w:rPr>
          <w:rStyle w:val="VerbatimChar"/>
        </w:rPr>
        <w:t xml:space="preserve">│   └── A3_run_YYYY-MM-DD/                # A3-specific outputs</w:t>
      </w:r>
      <w:r>
        <w:br/>
      </w:r>
      <w:r>
        <w:rPr>
          <w:rStyle w:val="VerbatimChar"/>
        </w:rPr>
        <w:t xml:space="preserve">├── 04_manuscript/</w:t>
      </w:r>
      <w:r>
        <w:br/>
      </w:r>
      <w:r>
        <w:rPr>
          <w:rStyle w:val="VerbatimChar"/>
        </w:rPr>
        <w:t xml:space="preserve">│   ├── lancet_de_v1.qmd                  # PTP/IEP master (frozen post-revision)</w:t>
      </w:r>
      <w:r>
        <w:br/>
      </w:r>
      <w:r>
        <w:rPr>
          <w:rStyle w:val="VerbatimChar"/>
        </w:rPr>
        <w:t xml:space="preserve">│   ├── lancet_de_submission_package/     # PTP/IEP submission (frozen)</w:t>
      </w:r>
      <w:r>
        <w:br/>
      </w:r>
      <w:r>
        <w:rPr>
          <w:rStyle w:val="VerbatimChar"/>
        </w:rPr>
        <w:t xml:space="preserve">│   ├── A1/                               # NEW</w:t>
      </w:r>
      <w:r>
        <w:br/>
      </w:r>
      <w:r>
        <w:rPr>
          <w:rStyle w:val="VerbatimChar"/>
        </w:rPr>
        <w:t xml:space="preserve">│   │   ├── manuscript.qmd</w:t>
      </w:r>
      <w:r>
        <w:br/>
      </w:r>
      <w:r>
        <w:rPr>
          <w:rStyle w:val="VerbatimChar"/>
        </w:rPr>
        <w:t xml:space="preserve">│   │   ├── refs_A1.bib</w:t>
      </w:r>
      <w:r>
        <w:br/>
      </w:r>
      <w:r>
        <w:rPr>
          <w:rStyle w:val="VerbatimChar"/>
        </w:rPr>
        <w:t xml:space="preserve">│   │   ├── display_items/</w:t>
      </w:r>
      <w:r>
        <w:br/>
      </w:r>
      <w:r>
        <w:rPr>
          <w:rStyle w:val="VerbatimChar"/>
        </w:rPr>
        <w:t xml:space="preserve">│   │   ├── cover_letter.md</w:t>
      </w:r>
      <w:r>
        <w:br/>
      </w:r>
      <w:r>
        <w:rPr>
          <w:rStyle w:val="VerbatimChar"/>
        </w:rPr>
        <w:t xml:space="preserve">│   │   ├── numerical_ledger_A1.md</w:t>
      </w:r>
      <w:r>
        <w:br/>
      </w:r>
      <w:r>
        <w:rPr>
          <w:rStyle w:val="VerbatimChar"/>
        </w:rPr>
        <w:t xml:space="preserve">│   │   └── verification_A1.md</w:t>
      </w:r>
      <w:r>
        <w:br/>
      </w:r>
      <w:r>
        <w:rPr>
          <w:rStyle w:val="VerbatimChar"/>
        </w:rPr>
        <w:t xml:space="preserve">│   ├── A2/                               # NEW</w:t>
      </w:r>
      <w:r>
        <w:br/>
      </w:r>
      <w:r>
        <w:rPr>
          <w:rStyle w:val="VerbatimChar"/>
        </w:rPr>
        <w:t xml:space="preserve">│   │   ├── manuscript.qmd</w:t>
      </w:r>
      <w:r>
        <w:br/>
      </w:r>
      <w:r>
        <w:rPr>
          <w:rStyle w:val="VerbatimChar"/>
        </w:rPr>
        <w:t xml:space="preserve">│   │   ├── refs_A2.bib</w:t>
      </w:r>
      <w:r>
        <w:br/>
      </w:r>
      <w:r>
        <w:rPr>
          <w:rStyle w:val="VerbatimChar"/>
        </w:rPr>
        <w:t xml:space="preserve">│   │   ├── display_items/</w:t>
      </w:r>
      <w:r>
        <w:br/>
      </w:r>
      <w:r>
        <w:rPr>
          <w:rStyle w:val="VerbatimChar"/>
        </w:rPr>
        <w:t xml:space="preserve">│   │   ├── cover_letter.md</w:t>
      </w:r>
      <w:r>
        <w:br/>
      </w:r>
      <w:r>
        <w:rPr>
          <w:rStyle w:val="VerbatimChar"/>
        </w:rPr>
        <w:t xml:space="preserve">│   │   ├── numerical_ledger_A2.md</w:t>
      </w:r>
      <w:r>
        <w:br/>
      </w:r>
      <w:r>
        <w:rPr>
          <w:rStyle w:val="VerbatimChar"/>
        </w:rPr>
        <w:t xml:space="preserve">│   │   └── verification_A2.md</w:t>
      </w:r>
      <w:r>
        <w:br/>
      </w:r>
      <w:r>
        <w:rPr>
          <w:rStyle w:val="VerbatimChar"/>
        </w:rPr>
        <w:t xml:space="preserve">│   └── A3/                               # NEW</w:t>
      </w:r>
      <w:r>
        <w:br/>
      </w:r>
      <w:r>
        <w:rPr>
          <w:rStyle w:val="VerbatimChar"/>
        </w:rPr>
        <w:t xml:space="preserve">│       ├── manuscript.qmd</w:t>
      </w:r>
      <w:r>
        <w:br/>
      </w:r>
      <w:r>
        <w:rPr>
          <w:rStyle w:val="VerbatimChar"/>
        </w:rPr>
        <w:t xml:space="preserve">│       ├── refs_A3.bib</w:t>
      </w:r>
      <w:r>
        <w:br/>
      </w:r>
      <w:r>
        <w:rPr>
          <w:rStyle w:val="VerbatimChar"/>
        </w:rPr>
        <w:t xml:space="preserve">│       ├── display_items/</w:t>
      </w:r>
      <w:r>
        <w:br/>
      </w:r>
      <w:r>
        <w:rPr>
          <w:rStyle w:val="VerbatimChar"/>
        </w:rPr>
        <w:t xml:space="preserve">│       ├── cover_letter.md</w:t>
      </w:r>
      <w:r>
        <w:br/>
      </w:r>
      <w:r>
        <w:rPr>
          <w:rStyle w:val="VerbatimChar"/>
        </w:rPr>
        <w:t xml:space="preserve">│       ├── protocol_appendix.md          # Specific to A3</w:t>
      </w:r>
      <w:r>
        <w:br/>
      </w:r>
      <w:r>
        <w:rPr>
          <w:rStyle w:val="VerbatimChar"/>
        </w:rPr>
        <w:t xml:space="preserve">│       ├── numerical_ledger_A3.md</w:t>
      </w:r>
      <w:r>
        <w:br/>
      </w:r>
      <w:r>
        <w:rPr>
          <w:rStyle w:val="VerbatimChar"/>
        </w:rPr>
        <w:t xml:space="preserve">│       └── verification_A3.md</w:t>
      </w:r>
      <w:r>
        <w:br/>
      </w:r>
      <w:r>
        <w:rPr>
          <w:rStyle w:val="VerbatimChar"/>
        </w:rPr>
        <w:t xml:space="preserve">├── governance.md                         # Rules; updated with A1/A2/A3 gates</w:t>
      </w:r>
      <w:r>
        <w:br/>
      </w:r>
      <w:r>
        <w:rPr>
          <w:rStyle w:val="VerbatimChar"/>
        </w:rPr>
        <w:t xml:space="preserve">├── verification.md                       # 10-module audit; per article</w:t>
      </w:r>
      <w:r>
        <w:br/>
      </w:r>
      <w:r>
        <w:rPr>
          <w:rStyle w:val="VerbatimChar"/>
        </w:rPr>
        <w:t xml:space="preserve">├── framework.md                          # Frozen v2·0</w:t>
      </w:r>
      <w:r>
        <w:br/>
      </w:r>
      <w:r>
        <w:rPr>
          <w:rStyle w:val="VerbatimChar"/>
        </w:rPr>
        <w:t xml:space="preserve">├── manuscript_canonical.md               # Frozen</w:t>
      </w:r>
      <w:r>
        <w:br/>
      </w:r>
      <w:r>
        <w:rPr>
          <w:rStyle w:val="VerbatimChar"/>
        </w:rPr>
        <w:t xml:space="preserve">├── sap.md                                # SAP roadmap</w:t>
      </w:r>
      <w:r>
        <w:br/>
      </w:r>
      <w:r>
        <w:rPr>
          <w:rStyle w:val="VerbatimChar"/>
        </w:rPr>
        <w:t xml:space="preserve">└── README.md                             # Updated index</w:t>
      </w:r>
    </w:p>
    <w:p>
      <w:r>
        <w:pict>
          <v:rect style="width:0;height:1.5pt" o:hralign="center" o:hrstd="t" o:hr="t"/>
        </w:pict>
      </w:r>
    </w:p>
    <w:bookmarkEnd w:id="26"/>
    <w:bookmarkStart w:id="30" w:name="Xf798575d93f2e2542a67995fe8ab28b7809a6d0"/>
    <w:p>
      <w:pPr>
        <w:pStyle w:val="Heading2"/>
      </w:pPr>
      <w:r>
        <w:t xml:space="preserve">6 · Optimización de pipelines (reuso + extensiones por artículo)</w:t>
      </w:r>
    </w:p>
    <w:bookmarkStart w:id="27" w:name="pipeline-base-reutilizado-sin-cambios"/>
    <w:p>
      <w:pPr>
        <w:pStyle w:val="Heading3"/>
      </w:pPr>
      <w:r>
        <w:t xml:space="preserve">6·1 Pipeline base reutilizado (sin cambios)</w:t>
      </w:r>
    </w:p>
    <w:p>
      <w:pPr>
        <w:pStyle w:val="FirstParagraph"/>
      </w:pPr>
      <w:r>
        <w:t xml:space="preserve">Los 16 scripts del pipeline canónico operan sobre</w:t>
      </w:r>
      <w:r>
        <w:t xml:space="preserve"> </w:t>
      </w:r>
      <w:r>
        <w:rPr>
          <w:rStyle w:val="VerbatimChar"/>
        </w:rPr>
        <w:t xml:space="preserve">master_table.csv</w:t>
      </w:r>
      <w:r>
        <w:t xml:space="preserve"> </w:t>
      </w:r>
      <w:r>
        <w:t xml:space="preserve">y producen los outputs en</w:t>
      </w:r>
      <w:r>
        <w:t xml:space="preserve"> </w:t>
      </w:r>
      <w:r>
        <w:rPr>
          <w:rStyle w:val="VerbatimChar"/>
        </w:rPr>
        <w:t xml:space="preserve">03_outputs/lancet_run_2026-05-08/</w:t>
      </w:r>
      <w:r>
        <w:t xml:space="preserve">.</w:t>
      </w:r>
      <w:r>
        <w:t xml:space="preserve"> </w:t>
      </w:r>
      <w:r>
        <w:rPr>
          <w:b/>
          <w:bCs/>
        </w:rPr>
        <w:t xml:space="preserve">Ningún script se modifica para los tres artículos hermanos</w:t>
      </w:r>
      <w:r>
        <w:t xml:space="preserve">; todos reutilizan los mismos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master.</w:t>
      </w:r>
    </w:p>
    <w:bookmarkEnd w:id="27"/>
    <w:bookmarkStart w:id="28" w:name="scripts-específicos-por-artículo"/>
    <w:p>
      <w:pPr>
        <w:pStyle w:val="Heading3"/>
      </w:pPr>
      <w:r>
        <w:t xml:space="preserve">6·2 Scripts específicos por artículo</w:t>
      </w:r>
    </w:p>
    <w:p>
      <w:pPr>
        <w:pStyle w:val="FirstParagraph"/>
      </w:pPr>
      <w:r>
        <w:t xml:space="preserve">Cada artículo añade un único script de extracción de su subset de figuras/tablas: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Artículo</w:t>
            </w:r>
          </w:p>
        </w:tc>
        <w:tc>
          <w:tcPr/>
          <w:p>
            <w:pPr>
              <w:pStyle w:val="Compact"/>
            </w:pPr>
            <w:r>
              <w:t xml:space="preserve">Script nuevo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10_A1_conceptual_figs.R</w:t>
            </w:r>
          </w:p>
        </w:tc>
        <w:tc>
          <w:tcPr/>
          <w:p>
            <w:pPr>
              <w:pStyle w:val="Compact"/>
            </w:pPr>
            <w:r>
              <w:t xml:space="preserve">Genera 4 eigenfunction panels con anotación fisiológica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10_A2_mathematical_figs.R</w:t>
            </w:r>
          </w:p>
        </w:tc>
        <w:tc>
          <w:tcPr/>
          <w:p>
            <w:pPr>
              <w:pStyle w:val="Compact"/>
            </w:pPr>
            <w:r>
              <w:t xml:space="preserve">Genera schema KL, kernel pipeline, eigenvalue spectrum, BLUP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10_A3_methodological_figs.R</w:t>
            </w:r>
          </w:p>
        </w:tc>
        <w:tc>
          <w:tcPr/>
          <w:p>
            <w:pPr>
              <w:pStyle w:val="Compact"/>
            </w:pPr>
            <w:r>
              <w:t xml:space="preserve">Genera protocolo, pipeline computacional, decision tree</w:t>
            </w:r>
          </w:p>
        </w:tc>
      </w:tr>
    </w:tbl>
    <w:p>
      <w:pPr>
        <w:pStyle w:val="BodyText"/>
      </w:pPr>
      <w:r>
        <w:t xml:space="preserve">Todos los scripts leen de</w:t>
      </w:r>
      <w:r>
        <w:t xml:space="preserve"> </w:t>
      </w:r>
      <w:r>
        <w:rPr>
          <w:rStyle w:val="VerbatimChar"/>
        </w:rPr>
        <w:t xml:space="preserve">03_outputs/lancet_run_2026-05-08/*.rds</w:t>
      </w:r>
      <w:r>
        <w:t xml:space="preserve"> </w:t>
      </w:r>
      <w:r>
        <w:t xml:space="preserve">y escriben a</w:t>
      </w:r>
      <w:r>
        <w:t xml:space="preserve"> </w:t>
      </w:r>
      <w:r>
        <w:rPr>
          <w:rStyle w:val="VerbatimChar"/>
        </w:rPr>
        <w:t xml:space="preserve">03_outputs/A{1,2,3}_run_YYYY-MM-DD/</w:t>
      </w:r>
      <w:r>
        <w:t xml:space="preserve">.</w:t>
      </w:r>
    </w:p>
    <w:bookmarkEnd w:id="28"/>
    <w:bookmarkStart w:id="29" w:name="X7ac36f1c6352b2ec7067dfbb233ef0ca8111339"/>
    <w:p>
      <w:pPr>
        <w:pStyle w:val="Heading3"/>
      </w:pPr>
      <w:r>
        <w:t xml:space="preserve">6·3 Métricas comunes reportadas en los tres artículos</w:t>
      </w:r>
    </w:p>
    <w:p>
      <w:pPr>
        <w:pStyle w:val="FirstParagraph"/>
      </w:pPr>
      <w:r>
        <w:t xml:space="preserve">Para anti-F8 (cifras coherentes entre artículos):</w:t>
      </w:r>
    </w:p>
    <w:p>
      <w:pPr>
        <w:pStyle w:val="Compact"/>
        <w:numPr>
          <w:ilvl w:val="0"/>
          <w:numId w:val="1003"/>
        </w:numPr>
      </w:pPr>
      <w:r>
        <w:t xml:space="preserve">N_studies = 23, N_tuples = 71, N_arms = 55, N_pseudo = 2,750</w:t>
      </w:r>
    </w:p>
    <w:p>
      <w:pPr>
        <w:pStyle w:val="Compact"/>
        <w:numPr>
          <w:ilvl w:val="0"/>
          <w:numId w:val="1003"/>
        </w:numPr>
      </w:pPr>
      <w:r>
        <w:t xml:space="preserve">K = 12, FVE = 92%, N/K = 29·2</w:t>
      </w:r>
    </w:p>
    <w:p>
      <w:pPr>
        <w:pStyle w:val="Compact"/>
        <w:numPr>
          <w:ilvl w:val="0"/>
          <w:numId w:val="1003"/>
        </w:numPr>
      </w:pPr>
      <w:r>
        <w:t xml:space="preserve">PC1 incretin loading = 0·211 · PYY total dominance = 0·762</w:t>
      </w:r>
    </w:p>
    <w:p>
      <w:pPr>
        <w:pStyle w:val="Compact"/>
        <w:numPr>
          <w:ilvl w:val="0"/>
          <w:numId w:val="1003"/>
        </w:numPr>
      </w:pPr>
      <w:r>
        <w:t xml:space="preserve">Pillai omnibus F = 18·29; Post-CR F = 52·09 (rank 1)</w:t>
      </w:r>
    </w:p>
    <w:p>
      <w:pPr>
        <w:pStyle w:val="Compact"/>
        <w:numPr>
          <w:ilvl w:val="0"/>
          <w:numId w:val="1003"/>
        </w:numPr>
      </w:pPr>
      <w:r>
        <w:t xml:space="preserve">Type V RYGBP = 43·3% · SG = 30·7% · ref = 18·8%</w:t>
      </w:r>
    </w:p>
    <w:p>
      <w:pPr>
        <w:pStyle w:val="Compact"/>
        <w:numPr>
          <w:ilvl w:val="0"/>
          <w:numId w:val="1003"/>
        </w:numPr>
      </w:pPr>
      <w:r>
        <w:t xml:space="preserve">Type III·I T2DM = 29·5% · Type III obesity_T2DM = 40·0% · Post-CR = 36·8%</w:t>
      </w:r>
    </w:p>
    <w:p>
      <w:pPr>
        <w:pStyle w:val="Compact"/>
        <w:numPr>
          <w:ilvl w:val="0"/>
          <w:numId w:val="1003"/>
        </w:numPr>
      </w:pPr>
      <w:r>
        <w:t xml:space="preserve">Type I·I non-obese without T2D = 32·2% · 23·1% not-classifiable</w:t>
      </w:r>
    </w:p>
    <w:p>
      <w:pPr>
        <w:pStyle w:val="Compact"/>
        <w:numPr>
          <w:ilvl w:val="0"/>
          <w:numId w:val="1003"/>
        </w:numPr>
      </w:pPr>
      <w:r>
        <w:t xml:space="preserve">Bootstrap classification stability ≥ 80%</w:t>
      </w:r>
    </w:p>
    <w:p>
      <w:pPr>
        <w:pStyle w:val="FirstParagraph"/>
      </w:pPr>
      <w:r>
        <w:rPr>
          <w:b/>
          <w:bCs/>
        </w:rPr>
        <w:t xml:space="preserve">Cada cifra remite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numerical_ledger.md</w:t>
      </w:r>
      <w:r>
        <w:rPr>
          <w:b/>
          <w:bCs/>
        </w:rPr>
        <w:t xml:space="preserve"> </w:t>
      </w:r>
      <w:r>
        <w:rPr>
          <w:b/>
          <w:bCs/>
        </w:rPr>
        <w:t xml:space="preserve">(master) y al ledger específico del artículo.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validación-qa-y-framework-anti-f1f9"/>
    <w:p>
      <w:pPr>
        <w:pStyle w:val="Heading2"/>
      </w:pPr>
      <w:r>
        <w:t xml:space="preserve">7 · Validación, QA y framework anti-F1–F9</w:t>
      </w:r>
    </w:p>
    <w:bookmarkStart w:id="31" w:name="X7af9da43a4d4da217d41e2a7aab3c989c5128fc"/>
    <w:p>
      <w:pPr>
        <w:pStyle w:val="Heading3"/>
      </w:pPr>
      <w:r>
        <w:t xml:space="preserve">7·1 Modos de fallo a verificar en cada artículo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Aplica A1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Mezclar JCEM/Lancet styling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Axiomas como</w:t>
            </w:r>
            <w:r>
              <w:t xml:space="preserve"> </w:t>
            </w:r>
            <w:r>
              <w:t xml:space="preserve">“we assume”</w:t>
            </w:r>
            <w:r>
              <w:t xml:space="preserve"> </w:t>
            </w:r>
            <w:r>
              <w:t xml:space="preserve">en lugar de teoremas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✓✓ (crítico)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PACE como primary en lugar de FACEs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AUC/peak/TTP como outcome primario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Reclamar predicción de outcomes individuales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Tratar pseudo-IPD AR(1) como base inferencial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Mencionar</w:t>
            </w:r>
            <w:r>
              <w:t xml:space="preserve"> </w:t>
            </w:r>
            <w:r>
              <w:t xml:space="preserve">“secretory capacity”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Apertura con epidemiología en lugar de gap metodológico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Reportar p-values &lt; B⁻¹ como informativos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✓✓ = revisión crítica obligatoria; ✓ = revisión estándar; – = no aplica directamente.</w:t>
      </w:r>
    </w:p>
    <w:bookmarkEnd w:id="31"/>
    <w:bookmarkStart w:id="32" w:name="checklist-strobe-tripod-por-artículo"/>
    <w:p>
      <w:pPr>
        <w:pStyle w:val="Heading3"/>
      </w:pPr>
      <w:r>
        <w:t xml:space="preserve">7·2 Checklist STROBE / TRIPOD por artículo</w:t>
      </w:r>
    </w:p>
    <w:p>
      <w:pPr>
        <w:pStyle w:val="Compact"/>
        <w:numPr>
          <w:ilvl w:val="0"/>
          <w:numId w:val="1004"/>
        </w:numPr>
      </w:pPr>
      <w:r>
        <w:t xml:space="preserve">A1: STROBE cohort; TRIPOD+AI N/A (sin modelo predictivo individual)</w:t>
      </w:r>
    </w:p>
    <w:p>
      <w:pPr>
        <w:pStyle w:val="Compact"/>
        <w:numPr>
          <w:ilvl w:val="0"/>
          <w:numId w:val="1004"/>
        </w:numPr>
      </w:pPr>
      <w:r>
        <w:t xml:space="preserve">A2: STROBE; TRIPOD+AI N/A (estadística metodológica)</w:t>
      </w:r>
    </w:p>
    <w:p>
      <w:pPr>
        <w:pStyle w:val="Compact"/>
        <w:numPr>
          <w:ilvl w:val="0"/>
          <w:numId w:val="1004"/>
        </w:numPr>
      </w:pPr>
      <w:r>
        <w:t xml:space="preserve">A3: STROBE + protocol appendix; TRIPOD+AI</w:t>
      </w:r>
      <w:r>
        <w:t xml:space="preserve"> </w:t>
      </w:r>
      <w:r>
        <w:rPr>
          <w:b/>
          <w:bCs/>
        </w:rPr>
        <w:t xml:space="preserve">declarar pendiente</w:t>
      </w:r>
      <w:r>
        <w:t xml:space="preserve"> </w:t>
      </w:r>
      <w:r>
        <w:t xml:space="preserve">(extension del marco a uso clínico individual será TRIPOD+AI cuando se valide prospectivamente — A3 abre esta línea pero no la cierra)</w:t>
      </w:r>
    </w:p>
    <w:bookmarkEnd w:id="32"/>
    <w:bookmarkStart w:id="33" w:name="X3ad4f42f4a3da2ac74e1356018b58fef833318c"/>
    <w:p>
      <w:pPr>
        <w:pStyle w:val="Heading3"/>
      </w:pPr>
      <w:r>
        <w:t xml:space="preserve">7·3 Forbidden words check (todos los artículos)</w:t>
      </w:r>
    </w:p>
    <w:p>
      <w:pPr>
        <w:pStyle w:val="SourceCode"/>
      </w:pPr>
      <w:r>
        <w:rPr>
          <w:rStyle w:val="CommentTok"/>
        </w:rPr>
        <w:t xml:space="preserve"># En cada manuscrito final, verificar: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"novel\|robust\|comprehensive\|gold standard\|secretory capacity\|Hilbert-geometric\|medRxiv 2026-351723"</w:t>
      </w:r>
      <w:r>
        <w:rPr>
          <w:rStyle w:val="NormalTok"/>
        </w:rPr>
        <w:t xml:space="preserve"> manuscript.qmd</w:t>
      </w:r>
      <w:r>
        <w:br/>
      </w:r>
      <w:r>
        <w:rPr>
          <w:rStyle w:val="CommentTok"/>
        </w:rPr>
        <w:t xml:space="preserve"># Esperado: 0 hits en los tres</w:t>
      </w:r>
    </w:p>
    <w:bookmarkEnd w:id="33"/>
    <w:bookmarkStart w:id="34" w:name="métricas-de-calidad-por-artículo"/>
    <w:p>
      <w:pPr>
        <w:pStyle w:val="Heading3"/>
      </w:pPr>
      <w:r>
        <w:t xml:space="preserve">7·4 Métricas de calidad por artículo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count main text</w:t>
            </w:r>
          </w:p>
        </w:tc>
        <w:tc>
          <w:tcPr/>
          <w:p>
            <w:pPr>
              <w:pStyle w:val="Compact"/>
            </w:pPr>
            <w:r>
              <w:t xml:space="preserve">≤ 5,000</w:t>
            </w:r>
          </w:p>
        </w:tc>
        <w:tc>
          <w:tcPr/>
          <w:p>
            <w:pPr>
              <w:pStyle w:val="Compact"/>
            </w:pPr>
            <w:r>
              <w:t xml:space="preserve">≤ 5,000</w:t>
            </w:r>
          </w:p>
        </w:tc>
        <w:tc>
          <w:tcPr/>
          <w:p>
            <w:pPr>
              <w:pStyle w:val="Compact"/>
            </w:pPr>
            <w:r>
              <w:t xml:space="preserve">≤ 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≤ 300</w:t>
            </w:r>
          </w:p>
        </w:tc>
        <w:tc>
          <w:tcPr/>
          <w:p>
            <w:pPr>
              <w:pStyle w:val="Compact"/>
            </w:pPr>
            <w:r>
              <w:t xml:space="preserve">≤ 300</w:t>
            </w:r>
          </w:p>
        </w:tc>
        <w:tc>
          <w:tcPr/>
          <w:p>
            <w:pPr>
              <w:pStyle w:val="Compact"/>
            </w:pPr>
            <w:r>
              <w:t xml:space="preserve">≤ 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 letter</w:t>
            </w:r>
          </w:p>
        </w:tc>
        <w:tc>
          <w:tcPr/>
          <w:p>
            <w:pPr>
              <w:pStyle w:val="Compact"/>
            </w:pPr>
            <w:r>
              <w:t xml:space="preserve">≤ 500</w:t>
            </w:r>
          </w:p>
        </w:tc>
        <w:tc>
          <w:tcPr/>
          <w:p>
            <w:pPr>
              <w:pStyle w:val="Compact"/>
            </w:pPr>
            <w:r>
              <w:t xml:space="preserve">≤ 500</w:t>
            </w:r>
          </w:p>
        </w:tc>
        <w:tc>
          <w:tcPr/>
          <w:p>
            <w:pPr>
              <w:pStyle w:val="Compact"/>
            </w:pPr>
            <w:r>
              <w:t xml:space="preserve">≤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≤ 30</w:t>
            </w:r>
          </w:p>
        </w:tc>
        <w:tc>
          <w:tcPr/>
          <w:p>
            <w:pPr>
              <w:pStyle w:val="Compact"/>
            </w:pPr>
            <w:r>
              <w:t xml:space="preserve">≤ 30</w:t>
            </w:r>
          </w:p>
        </w:tc>
        <w:tc>
          <w:tcPr/>
          <w:p>
            <w:pPr>
              <w:pStyle w:val="Compact"/>
            </w:pPr>
            <w:r>
              <w:t xml:space="preserve">≤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coverage clínicas</w:t>
            </w:r>
          </w:p>
        </w:tc>
        <w:tc>
          <w:tcPr/>
          <w:p>
            <w:pPr>
              <w:pStyle w:val="Compact"/>
            </w:pPr>
            <w:r>
              <w:t xml:space="preserve">≥ 80% IF &gt; 10</w:t>
            </w:r>
          </w:p>
        </w:tc>
        <w:tc>
          <w:tcPr/>
          <w:p>
            <w:pPr>
              <w:pStyle w:val="Compact"/>
            </w:pPr>
            <w:r>
              <w:t xml:space="preserve">N/A (mostly methodological)</w:t>
            </w:r>
          </w:p>
        </w:tc>
        <w:tc>
          <w:tcPr/>
          <w:p>
            <w:pPr>
              <w:pStyle w:val="Compact"/>
            </w:pPr>
            <w:r>
              <w:t xml:space="preserve">≥ 80% IF &gt;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items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Xdf823d4000d55913febf8104d521471a378e895"/>
    <w:p>
      <w:pPr>
        <w:pStyle w:val="Heading2"/>
      </w:pPr>
      <w:r>
        <w:t xml:space="preserve">8 · Matriz de incorporación de comentarios de revisión</w:t>
      </w:r>
    </w:p>
    <w:p>
      <w:pPr>
        <w:pStyle w:val="FirstParagraph"/>
      </w:pPr>
      <w:r>
        <w:t xml:space="preserve">Cada uno de los 11 comentarios de revisión consolidados en la sesión 2026-05-08/09 debe quedar incorporado a uno o más de los tres artículos. La matriz garantiza no-duplicación y trazabilidad.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  <w:tc>
          <w:tcPr/>
          <w:p>
            <w:pPr>
              <w:pStyle w:val="Compact"/>
            </w:pPr>
            <w:r>
              <w:t xml:space="preserve">Resolución en MS PTP/IEP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C1/C5/C8</w:t>
            </w:r>
          </w:p>
        </w:tc>
        <w:tc>
          <w:tcPr/>
          <w:p>
            <w:pPr>
              <w:pStyle w:val="Compact"/>
            </w:pPr>
            <w:r>
              <w:t xml:space="preserve">Tipo V RYGBP vs SG (Lobato 2025); diseño ecológico</w:t>
            </w:r>
          </w:p>
        </w:tc>
        <w:tc>
          <w:tcPr/>
          <w:p>
            <w:pPr>
              <w:pStyle w:val="Compact"/>
            </w:pPr>
            <w:r>
              <w:t xml:space="preserve">Párrafo §Mechanistic interpretation; sufijos a/b/c clarificados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✓✓ (foco traslacional)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mFPCA vs PARAFAC (Shi 2024)</w:t>
            </w:r>
          </w:p>
        </w:tc>
        <w:tc>
          <w:tcPr/>
          <w:p>
            <w:pPr>
              <w:pStyle w:val="Compact"/>
            </w:pPr>
            <w:r>
              <w:t xml:space="preserve">L3·3 párrafo extendido</w:t>
            </w:r>
          </w:p>
        </w:tc>
        <w:tc>
          <w:tcPr/>
          <w:p>
            <w:pPr>
              <w:pStyle w:val="Compact"/>
            </w:pPr>
            <w:r>
              <w:t xml:space="preserve">✓ (mención)</w:t>
            </w:r>
          </w:p>
        </w:tc>
        <w:tc>
          <w:tcPr/>
          <w:p>
            <w:pPr>
              <w:pStyle w:val="Compact"/>
            </w:pPr>
            <w:r>
              <w:t xml:space="preserve">✓✓ (sustento matemático)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Métricas L3·9/anti-F9 sin contexto</w:t>
            </w:r>
          </w:p>
        </w:tc>
        <w:tc>
          <w:tcPr/>
          <w:p>
            <w:pPr>
              <w:pStyle w:val="Compact"/>
            </w:pPr>
            <w:r>
              <w:t xml:space="preserve">Tabla 3 → Suplementario S1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C4/C8</w:t>
            </w:r>
          </w:p>
        </w:tc>
        <w:tc>
          <w:tcPr/>
          <w:p>
            <w:pPr>
              <w:pStyle w:val="Compact"/>
            </w:pPr>
            <w:r>
              <w:t xml:space="preserve">“Tipo VI”</w:t>
            </w:r>
            <w:r>
              <w:t xml:space="preserve"> </w:t>
            </w:r>
            <w:r>
              <w:t xml:space="preserve">para agonistas triple-receptor</w:t>
            </w:r>
          </w:p>
        </w:tc>
        <w:tc>
          <w:tcPr/>
          <w:p>
            <w:pPr>
              <w:pStyle w:val="Compact"/>
            </w:pPr>
            <w:r>
              <w:t xml:space="preserve">§Implications párrafo farmacológico</w:t>
            </w:r>
          </w:p>
        </w:tc>
        <w:tc>
          <w:tcPr/>
          <w:p>
            <w:pPr>
              <w:pStyle w:val="Compact"/>
            </w:pPr>
            <w:r>
              <w:t xml:space="preserve">✓ (mención conceptual)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✓✓ (selección de agonistas)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K selection Golovkine 2025</w:t>
            </w:r>
          </w:p>
        </w:tc>
        <w:tc>
          <w:tcPr/>
          <w:p>
            <w:pPr>
              <w:pStyle w:val="Compact"/>
            </w:pPr>
            <w:r>
              <w:t xml:space="preserve">L3·5 + Findings + Strengths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✓✓ (criterio formal)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Sensibilidad ρ del kernel AR(1) / suavizado picos</w:t>
            </w:r>
          </w:p>
        </w:tc>
        <w:tc>
          <w:tcPr/>
          <w:p>
            <w:pPr>
              <w:pStyle w:val="Compact"/>
            </w:pPr>
            <w:r>
              <w:t xml:space="preserve">L3·1 (μ_h(t) = digitised mean) + L3·10 (ρ=0·3 specifically probes rapid peaks) + L3·6 (SRSF safeguard)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✓✓ (justificación estadística completa)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11 vs 9 analitos</w:t>
            </w:r>
          </w:p>
        </w:tc>
        <w:tc>
          <w:tcPr/>
          <w:p>
            <w:pPr>
              <w:pStyle w:val="Compact"/>
            </w:pPr>
            <w:r>
              <w:t xml:space="preserve">Summary + Table 1 footnote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cohort 23·1% not-classifiable</w:t>
            </w:r>
          </w:p>
        </w:tc>
        <w:tc>
          <w:tcPr/>
          <w:p>
            <w:pPr>
              <w:pStyle w:val="Compact"/>
            </w:pPr>
            <w:r>
              <w:t xml:space="preserve">Triple sentence specifying single-analyte source arms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priori PTP/IEP design</w:t>
            </w:r>
          </w:p>
        </w:tc>
        <w:tc>
          <w:tcPr/>
          <w:p>
            <w:pPr>
              <w:pStyle w:val="Compact"/>
            </w:pPr>
            <w:r>
              <w:t xml:space="preserve">§Classification párrafo a priori; §Strengths bullet</w:t>
            </w:r>
          </w:p>
        </w:tc>
        <w:tc>
          <w:tcPr/>
          <w:p>
            <w:pPr>
              <w:pStyle w:val="Compact"/>
            </w:pPr>
            <w:r>
              <w:t xml:space="preserve">✓ (foco fisiológico)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Title attribution to author (no</w:t>
            </w:r>
            <w:r>
              <w:t xml:space="preserve"> </w:t>
            </w:r>
            <w:r>
              <w:t xml:space="preserve">“Hilbert-geometric”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Título PTP/IEP-centred adoptado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Three-tier reviewer responses (Jenni AI rounds 1-4)</w:t>
            </w:r>
          </w:p>
        </w:tc>
        <w:tc>
          <w:tcPr/>
          <w:p>
            <w:pPr>
              <w:pStyle w:val="Compact"/>
            </w:pPr>
            <w:r>
              <w:t xml:space="preserve">11 cambios aplicados al .qmd v1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preparación-de-submission-por-artículo"/>
    <w:p>
      <w:pPr>
        <w:pStyle w:val="Heading2"/>
      </w:pPr>
      <w:r>
        <w:t xml:space="preserve">9 · Preparación de submission por artículo</w:t>
      </w:r>
    </w:p>
    <w:bookmarkStart w:id="37" w:name="Xe237566bfec3e9b4033e478c906d65550918852"/>
    <w:p>
      <w:pPr>
        <w:pStyle w:val="Heading3"/>
      </w:pPr>
      <w:r>
        <w:t xml:space="preserve">9·1 Submission package estructura (idéntica para A1/A2/A3)</w:t>
      </w:r>
    </w:p>
    <w:p>
      <w:pPr>
        <w:pStyle w:val="SourceCode"/>
      </w:pPr>
      <w:r>
        <w:rPr>
          <w:rStyle w:val="VerbatimChar"/>
        </w:rPr>
        <w:t xml:space="preserve">A{1,2,3}/</w:t>
      </w:r>
      <w:r>
        <w:br/>
      </w:r>
      <w:r>
        <w:rPr>
          <w:rStyle w:val="VerbatimChar"/>
        </w:rPr>
        <w:t xml:space="preserve">├── manuscript.docx              # Lancet primary submission format</w:t>
      </w:r>
      <w:r>
        <w:br/>
      </w:r>
      <w:r>
        <w:rPr>
          <w:rStyle w:val="VerbatimChar"/>
        </w:rPr>
        <w:t xml:space="preserve">├── manuscript_preview.html      # Self-contained preview</w:t>
      </w:r>
      <w:r>
        <w:br/>
      </w:r>
      <w:r>
        <w:rPr>
          <w:rStyle w:val="VerbatimChar"/>
        </w:rPr>
        <w:t xml:space="preserve">├── manuscript_source.qmd        # Quarto source</w:t>
      </w:r>
      <w:r>
        <w:br/>
      </w:r>
      <w:r>
        <w:rPr>
          <w:rStyle w:val="VerbatimChar"/>
        </w:rPr>
        <w:t xml:space="preserve">├── cover_letter.docx</w:t>
      </w:r>
      <w:r>
        <w:br/>
      </w:r>
      <w:r>
        <w:rPr>
          <w:rStyle w:val="VerbatimChar"/>
        </w:rPr>
        <w:t xml:space="preserve">├── cover_letter.md</w:t>
      </w:r>
      <w:r>
        <w:br/>
      </w:r>
      <w:r>
        <w:rPr>
          <w:rStyle w:val="VerbatimChar"/>
        </w:rPr>
        <w:t xml:space="preserve">├── display_items/</w:t>
      </w:r>
      <w:r>
        <w:br/>
      </w:r>
      <w:r>
        <w:rPr>
          <w:rStyle w:val="VerbatimChar"/>
        </w:rPr>
        <w:t xml:space="preserve">│   ├── DI1.{svg,png}            # 300 dpi</w:t>
      </w:r>
      <w:r>
        <w:br/>
      </w:r>
      <w:r>
        <w:rPr>
          <w:rStyle w:val="VerbatimChar"/>
        </w:rPr>
        <w:t xml:space="preserve">│   ├── DI2.{svg,png}</w:t>
      </w:r>
      <w:r>
        <w:br/>
      </w:r>
      <w:r>
        <w:rPr>
          <w:rStyle w:val="VerbatimChar"/>
        </w:rPr>
        <w:t xml:space="preserve">│   ├── DI3.{svg,png}</w:t>
      </w:r>
      <w:r>
        <w:br/>
      </w:r>
      <w:r>
        <w:rPr>
          <w:rStyle w:val="VerbatimChar"/>
        </w:rPr>
        <w:t xml:space="preserve">│   └── DI4.{svg,png}</w:t>
      </w:r>
      <w:r>
        <w:br/>
      </w:r>
      <w:r>
        <w:rPr>
          <w:rStyle w:val="VerbatimChar"/>
        </w:rPr>
        <w:t xml:space="preserve">├── outputs/tables/              # CSV de cifras</w:t>
      </w:r>
      <w:r>
        <w:br/>
      </w:r>
      <w:r>
        <w:rPr>
          <w:rStyle w:val="VerbatimChar"/>
        </w:rPr>
        <w:t xml:space="preserve">├── numerical_ledger.md          # Single source of truth</w:t>
      </w:r>
      <w:r>
        <w:br/>
      </w:r>
      <w:r>
        <w:rPr>
          <w:rStyle w:val="VerbatimChar"/>
        </w:rPr>
        <w:t xml:space="preserve">├── verification_report.md       # 10-module audit M1-M10 + F1-F9</w:t>
      </w:r>
      <w:r>
        <w:br/>
      </w:r>
      <w:r>
        <w:rPr>
          <w:rStyle w:val="VerbatimChar"/>
        </w:rPr>
        <w:t xml:space="preserve">└── README.md                    # Package index</w:t>
      </w:r>
    </w:p>
    <w:bookmarkEnd w:id="37"/>
    <w:bookmarkStart w:id="38" w:name="X1a5353b10d388991d8ff44b7856caaf2601e662"/>
    <w:p>
      <w:pPr>
        <w:pStyle w:val="Heading3"/>
      </w:pPr>
      <w:r>
        <w:t xml:space="preserve">9·2 Checklist pre-submission Lancet D&amp;E (por artículo)</w:t>
      </w:r>
    </w:p>
    <w:p>
      <w:pPr>
        <w:pStyle w:val="Compact"/>
        <w:numPr>
          <w:ilvl w:val="0"/>
          <w:numId w:val="1005"/>
        </w:numPr>
      </w:pPr>
      <w:r>
        <w:t xml:space="preserve">Title ≤ 25 palabras, declarativo, sin atribución implícita a constructo matemático</w:t>
      </w:r>
    </w:p>
    <w:p>
      <w:pPr>
        <w:pStyle w:val="Compact"/>
        <w:numPr>
          <w:ilvl w:val="0"/>
          <w:numId w:val="1006"/>
        </w:numPr>
      </w:pPr>
      <w:r>
        <w:t xml:space="preserve">Summary ≤ 300 palabras, estructura Background/Methods/Findings/Interpretation/Funding</w:t>
      </w:r>
    </w:p>
    <w:p>
      <w:pPr>
        <w:pStyle w:val="Compact"/>
        <w:numPr>
          <w:ilvl w:val="0"/>
          <w:numId w:val="1007"/>
        </w:numPr>
      </w:pPr>
      <w:r>
        <w:t xml:space="preserve">Research-in-context box (3 bloques)</w:t>
      </w:r>
    </w:p>
    <w:p>
      <w:pPr>
        <w:pStyle w:val="Compact"/>
        <w:numPr>
          <w:ilvl w:val="0"/>
          <w:numId w:val="1008"/>
        </w:numPr>
      </w:pPr>
      <w:r>
        <w:t xml:space="preserve">Methods ≤ 1,500 palabras</w:t>
      </w:r>
    </w:p>
    <w:p>
      <w:pPr>
        <w:pStyle w:val="Compact"/>
        <w:numPr>
          <w:ilvl w:val="0"/>
          <w:numId w:val="1009"/>
        </w:numPr>
      </w:pPr>
      <w:r>
        <w:t xml:space="preserve">Findings ≤ 2,000 palabras con cifras coherentes con</w:t>
      </w:r>
      <w:r>
        <w:t xml:space="preserve"> </w:t>
      </w:r>
      <w:r>
        <w:rPr>
          <w:rStyle w:val="VerbatimChar"/>
        </w:rPr>
        <w:t xml:space="preserve">numerical_ledger.md</w:t>
      </w:r>
    </w:p>
    <w:p>
      <w:pPr>
        <w:pStyle w:val="Compact"/>
        <w:numPr>
          <w:ilvl w:val="0"/>
          <w:numId w:val="1010"/>
        </w:numPr>
      </w:pPr>
      <w:r>
        <w:t xml:space="preserve">Discussion ≤ 1,500 palabras con limitaciones declaradas</w:t>
      </w:r>
    </w:p>
    <w:p>
      <w:pPr>
        <w:pStyle w:val="Compact"/>
        <w:numPr>
          <w:ilvl w:val="0"/>
          <w:numId w:val="1011"/>
        </w:numPr>
      </w:pPr>
      <w:r>
        <w:t xml:space="preserve">References ≤ 30, ≥ 80% IF &gt; 10 (excepto A2)</w:t>
      </w:r>
    </w:p>
    <w:p>
      <w:pPr>
        <w:pStyle w:val="Compact"/>
        <w:numPr>
          <w:ilvl w:val="0"/>
          <w:numId w:val="1012"/>
        </w:numPr>
      </w:pPr>
      <w:r>
        <w:t xml:space="preserve">4 display items con captions de longitud Lancet</w:t>
      </w:r>
    </w:p>
    <w:p>
      <w:pPr>
        <w:pStyle w:val="Compact"/>
        <w:numPr>
          <w:ilvl w:val="0"/>
          <w:numId w:val="1013"/>
        </w:numPr>
      </w:pPr>
      <w:r>
        <w:t xml:space="preserve">AI/LLM disclosure verbatim</w:t>
      </w:r>
    </w:p>
    <w:p>
      <w:pPr>
        <w:pStyle w:val="Compact"/>
        <w:numPr>
          <w:ilvl w:val="0"/>
          <w:numId w:val="1014"/>
        </w:numPr>
      </w:pPr>
      <w:r>
        <w:t xml:space="preserve">Funding statement:</w:t>
      </w:r>
      <w:r>
        <w:t xml:space="preserve"> </w:t>
      </w:r>
      <w:r>
        <w:t xml:space="preserve">“None. The author had full access to all data and final responsibility for the decision to submit for publication.”</w:t>
      </w:r>
    </w:p>
    <w:p>
      <w:pPr>
        <w:pStyle w:val="Compact"/>
        <w:numPr>
          <w:ilvl w:val="0"/>
          <w:numId w:val="1015"/>
        </w:numPr>
      </w:pPr>
      <w:r>
        <w:t xml:space="preserve">Suggested reviewers: Wagner, Frøslie, Bojsen-Møller, Greven, Müller (más reviewers específicos por artículo)</w:t>
      </w:r>
    </w:p>
    <w:p>
      <w:pPr>
        <w:pStyle w:val="Compact"/>
        <w:numPr>
          <w:ilvl w:val="0"/>
          <w:numId w:val="1016"/>
        </w:numPr>
      </w:pPr>
      <w:r>
        <w:t xml:space="preserve">Excluded reviewers: ninguno; declaración explícita de no competing interests</w:t>
      </w:r>
    </w:p>
    <w:p>
      <w:pPr>
        <w:pStyle w:val="Compact"/>
        <w:numPr>
          <w:ilvl w:val="0"/>
          <w:numId w:val="1017"/>
        </w:numPr>
      </w:pPr>
      <w:r>
        <w:t xml:space="preserve">STROBE checklist en Suppl. S1</w:t>
      </w:r>
    </w:p>
    <w:p>
      <w:pPr>
        <w:pStyle w:val="Compact"/>
        <w:numPr>
          <w:ilvl w:val="0"/>
          <w:numId w:val="1018"/>
        </w:numPr>
      </w:pPr>
      <w:r>
        <w:t xml:space="preserve">Cover letter ≤ 500 palabras: gap → journal precedent → contribution → reproducibility → reviewers</w:t>
      </w:r>
    </w:p>
    <w:p>
      <w:pPr>
        <w:pStyle w:val="Compact"/>
        <w:numPr>
          <w:ilvl w:val="0"/>
          <w:numId w:val="1019"/>
        </w:numPr>
      </w:pPr>
      <w:r>
        <w:t xml:space="preserve">Verification report con 0 hits a F1–F9 y forbidden words</w:t>
      </w:r>
    </w:p>
    <w:p>
      <w:pPr>
        <w:pStyle w:val="Compact"/>
        <w:numPr>
          <w:ilvl w:val="0"/>
          <w:numId w:val="1020"/>
        </w:numPr>
      </w:pPr>
      <w:r>
        <w:t xml:space="preserve">Submission package empaquetado y deposited en Zenodo v2·0-A{1,2,3}</w:t>
      </w:r>
    </w:p>
    <w:bookmarkEnd w:id="38"/>
    <w:bookmarkStart w:id="39" w:name="reviewers-sugeridos-por-artículo"/>
    <w:p>
      <w:pPr>
        <w:pStyle w:val="Heading3"/>
      </w:pPr>
      <w:r>
        <w:t xml:space="preserve">9·3 Reviewers sugeridos por artículo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Artículo</w:t>
            </w:r>
          </w:p>
        </w:tc>
        <w:tc>
          <w:tcPr/>
          <w:p>
            <w:pPr>
              <w:pStyle w:val="Compact"/>
            </w:pPr>
            <w:r>
              <w:t xml:space="preserve">Reviewers sugeridos primarios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(conceptual/fisiológico)</w:t>
            </w:r>
          </w:p>
        </w:tc>
        <w:tc>
          <w:tcPr/>
          <w:p>
            <w:pPr>
              <w:pStyle w:val="Compact"/>
            </w:pPr>
            <w:r>
              <w:t xml:space="preserve">Drucker DJ (Toronto,</w:t>
            </w:r>
            <w:r>
              <w:t xml:space="preserve"> </w:t>
            </w:r>
            <w:r>
              <w:rPr>
                <w:i/>
                <w:iCs/>
              </w:rPr>
              <w:t xml:space="preserve">Cell Metab</w:t>
            </w:r>
            <w:r>
              <w:t xml:space="preserve">) · Holst JJ (Copenhagen,</w:t>
            </w:r>
            <w:r>
              <w:t xml:space="preserve"> </w:t>
            </w:r>
            <w:r>
              <w:rPr>
                <w:i/>
                <w:iCs/>
              </w:rPr>
              <w:t xml:space="preserve">Physiol Rev</w:t>
            </w:r>
            <w:r>
              <w:t xml:space="preserve">) · Steinert RE (Adelaide/Zurich,</w:t>
            </w:r>
            <w:r>
              <w:t xml:space="preserve"> </w:t>
            </w:r>
            <w:r>
              <w:rPr>
                <w:i/>
                <w:iCs/>
              </w:rPr>
              <w:t xml:space="preserve">Physiol Rev</w:t>
            </w:r>
            <w:r>
              <w:t xml:space="preserve">) · Madsbad S (Hvidovre,</w:t>
            </w:r>
            <w:r>
              <w:t xml:space="preserve"> </w:t>
            </w:r>
            <w:r>
              <w:rPr>
                <w:i/>
                <w:iCs/>
              </w:rPr>
              <w:t xml:space="preserve">Lancet D&amp;E</w:t>
            </w:r>
            <w:r>
              <w:t xml:space="preserve">) · Nauck MA (Bochum,</w:t>
            </w:r>
            <w:r>
              <w:t xml:space="preserve"> </w:t>
            </w:r>
            <w:r>
              <w:rPr>
                <w:i/>
                <w:iCs/>
              </w:rPr>
              <w:t xml:space="preserve">Diabetologia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  <w:r>
              <w:t xml:space="preserve"> </w:t>
            </w:r>
            <w:r>
              <w:t xml:space="preserve">(matemático/estadístico)</w:t>
            </w:r>
          </w:p>
        </w:tc>
        <w:tc>
          <w:tcPr/>
          <w:p>
            <w:pPr>
              <w:pStyle w:val="Compact"/>
            </w:pPr>
            <w:r>
              <w:t xml:space="preserve">Greven S (HU Berlin,</w:t>
            </w:r>
            <w:r>
              <w:t xml:space="preserve"> </w:t>
            </w:r>
            <w:r>
              <w:rPr>
                <w:i/>
                <w:iCs/>
              </w:rPr>
              <w:t xml:space="preserve">JASA</w:t>
            </w:r>
            <w:r>
              <w:t xml:space="preserve">) · Müller HG (UC Davis,</w:t>
            </w:r>
            <w:r>
              <w:t xml:space="preserve"> </w:t>
            </w:r>
            <w:r>
              <w:rPr>
                <w:i/>
                <w:iCs/>
              </w:rPr>
              <w:t xml:space="preserve">JASA</w:t>
            </w:r>
            <w:r>
              <w:t xml:space="preserve">) · Crainiceanu CM (JHU,</w:t>
            </w:r>
            <w:r>
              <w:t xml:space="preserve"> </w:t>
            </w:r>
            <w:r>
              <w:rPr>
                <w:i/>
                <w:iCs/>
              </w:rPr>
              <w:t xml:space="preserve">Stat Comput</w:t>
            </w:r>
            <w:r>
              <w:t xml:space="preserve">) · Hsing T (Michigan,</w:t>
            </w:r>
            <w:r>
              <w:t xml:space="preserve"> </w:t>
            </w:r>
            <w:r>
              <w:rPr>
                <w:i/>
                <w:iCs/>
              </w:rPr>
              <w:t xml:space="preserve">Ann Stat</w:t>
            </w:r>
            <w:r>
              <w:t xml:space="preserve">) · Goldsmith J (Columbia,</w:t>
            </w:r>
            <w:r>
              <w:t xml:space="preserve"> </w:t>
            </w:r>
            <w:r>
              <w:rPr>
                <w:i/>
                <w:iCs/>
              </w:rPr>
              <w:t xml:space="preserve">Biometrics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  <w:r>
              <w:t xml:space="preserve"> </w:t>
            </w:r>
            <w:r>
              <w:t xml:space="preserve">(metodológico/traslacional)</w:t>
            </w:r>
          </w:p>
        </w:tc>
        <w:tc>
          <w:tcPr/>
          <w:p>
            <w:pPr>
              <w:pStyle w:val="Compact"/>
            </w:pPr>
            <w:r>
              <w:t xml:space="preserve">Wagner R (Tübingen,</w:t>
            </w:r>
            <w:r>
              <w:t xml:space="preserve"> </w:t>
            </w:r>
            <w:r>
              <w:rPr>
                <w:i/>
                <w:iCs/>
              </w:rPr>
              <w:t xml:space="preserve">Nat Med</w:t>
            </w:r>
            <w:r>
              <w:t xml:space="preserve">) · Bojsen-Møller KN (Hvidovre,</w:t>
            </w:r>
            <w:r>
              <w:t xml:space="preserve"> </w:t>
            </w:r>
            <w:r>
              <w:rPr>
                <w:i/>
                <w:iCs/>
              </w:rPr>
              <w:t xml:space="preserve">Diabetes</w:t>
            </w:r>
            <w:r>
              <w:t xml:space="preserve">) · Frías JP (Velocity Clinical,</w:t>
            </w:r>
            <w:r>
              <w:t xml:space="preserve"> </w:t>
            </w:r>
            <w:r>
              <w:rPr>
                <w:i/>
                <w:iCs/>
              </w:rPr>
              <w:t xml:space="preserve">NEJM</w:t>
            </w:r>
            <w:r>
              <w:t xml:space="preserve">) · Rubino F (King’s College,</w:t>
            </w:r>
            <w:r>
              <w:t xml:space="preserve"> </w:t>
            </w:r>
            <w:r>
              <w:rPr>
                <w:i/>
                <w:iCs/>
              </w:rPr>
              <w:t xml:space="preserve">Lancet D&amp;E</w:t>
            </w:r>
            <w:r>
              <w:t xml:space="preserve">) · Cummings DE (Washington,</w:t>
            </w:r>
            <w:r>
              <w:t xml:space="preserve"> </w:t>
            </w:r>
            <w:r>
              <w:rPr>
                <w:i/>
                <w:iCs/>
              </w:rPr>
              <w:t xml:space="preserve">Diabetes Care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7" w:name="workflow-de-ejecución-secuencial"/>
    <w:p>
      <w:pPr>
        <w:pStyle w:val="Heading2"/>
      </w:pPr>
      <w:r>
        <w:t xml:space="preserve">10 · Workflow de ejecución secuencial</w:t>
      </w:r>
    </w:p>
    <w:bookmarkStart w:id="41" w:name="fase-0-pre-flight-1-día"/>
    <w:p>
      <w:pPr>
        <w:pStyle w:val="Heading3"/>
      </w:pPr>
      <w:r>
        <w:t xml:space="preserve">10·1 Fase 0 — Pre-flight (1 día)</w:t>
      </w:r>
    </w:p>
    <w:p>
      <w:pPr>
        <w:pStyle w:val="SourceCode"/>
      </w:pPr>
      <w:r>
        <w:rPr>
          <w:rStyle w:val="CommentTok"/>
        </w:rPr>
        <w:t xml:space="preserve"># 1. Verificar línea base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~/Research/PTP_JCEM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CommentTok"/>
        </w:rPr>
        <w:t xml:space="preserve"># 2. Crear branches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lancet-A1-conceptual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lancet-A2-mathematical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lancet-A3-methodological</w:t>
      </w:r>
      <w:r>
        <w:br/>
      </w:r>
      <w:r>
        <w:br/>
      </w:r>
      <w:r>
        <w:rPr>
          <w:rStyle w:val="CommentTok"/>
        </w:rPr>
        <w:t xml:space="preserve"># 3. Crear directorios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04_manuscript/</w:t>
      </w:r>
      <w:r>
        <w:rPr>
          <w:rStyle w:val="DataTypeTok"/>
        </w:rPr>
        <w:t xml:space="preserve">{A1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A2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A3}</w:t>
      </w:r>
      <w:r>
        <w:rPr>
          <w:rStyle w:val="NormalTok"/>
        </w:rPr>
        <w:t xml:space="preserve">/</w:t>
      </w:r>
      <w:r>
        <w:rPr>
          <w:rStyle w:val="DataTypeTok"/>
        </w:rPr>
        <w:t xml:space="preserve">{display_items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outputs/tables}</w:t>
      </w:r>
      <w:r>
        <w:br/>
      </w:r>
      <w:r>
        <w:br/>
      </w:r>
      <w:r>
        <w:rPr>
          <w:rStyle w:val="CommentTok"/>
        </w:rPr>
        <w:t xml:space="preserve"># 4. Instalar TeX (opcional, mejora PDF)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basictex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tlmgr update </w:t>
      </w:r>
      <w:r>
        <w:rPr>
          <w:rStyle w:val="AttributeTok"/>
        </w:rPr>
        <w:t xml:space="preserve">--self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tlmgr install collection-fontsrecommended xetex unicode-math fontspec mathtools tabularx booktabs caption ifsym</w:t>
      </w:r>
      <w:r>
        <w:br/>
      </w:r>
      <w:r>
        <w:br/>
      </w:r>
      <w:r>
        <w:rPr>
          <w:rStyle w:val="CommentTok"/>
        </w:rPr>
        <w:t xml:space="preserve"># 5. Descargar Lancet CSL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https://raw.githubusercontent.com/citation-style-language/styles/master/the-lancet.csl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04_manuscript/lancet.csl</w:t>
      </w:r>
      <w:r>
        <w:br/>
      </w:r>
      <w:r>
        <w:br/>
      </w:r>
      <w:r>
        <w:rPr>
          <w:rStyle w:val="CommentTok"/>
        </w:rPr>
        <w:t xml:space="preserve"># 6. Verificar paquetes R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'pkgs &lt;- c("face","MFPCA","fdapace","funData","fdasrvf","ggsci","officer","flextable"); invisible(sapply(pkgs, require, character.only=TRUE, quietly=TRUE)); cat("OK\n")'</w:t>
      </w:r>
    </w:p>
    <w:bookmarkEnd w:id="41"/>
    <w:bookmarkStart w:id="45" w:name="Xb76603fba29340765e8ece19649f2794fac17aa"/>
    <w:p>
      <w:pPr>
        <w:pStyle w:val="Heading3"/>
      </w:pPr>
      <w:r>
        <w:t xml:space="preserve">10·2 Fase 1 — Ejecución por artículo (orden recomendado: A2 → A1 → A3)</w:t>
      </w:r>
    </w:p>
    <w:p>
      <w:pPr>
        <w:pStyle w:val="FirstParagraph"/>
      </w:pPr>
      <w:r>
        <w:rPr>
          <w:b/>
          <w:bCs/>
        </w:rPr>
        <w:t xml:space="preserve">Justificación del orden.</w:t>
      </w:r>
      <w:r>
        <w:t xml:space="preserve"> </w:t>
      </w:r>
      <w:r>
        <w:t xml:space="preserve">A2 establece el sustento matemático/estadístico; A1 lo traduce a fisiología; A3 lo opera clínicamente. Empezar por A2 garantiza que los teoremas y métodos estén bien fundados antes de aplicarse en A1 y A3.</w:t>
      </w:r>
    </w:p>
    <w:bookmarkStart w:id="42" w:name="X7ce3121e315b8f383e46c113e468aa9146ed4d4"/>
    <w:p>
      <w:pPr>
        <w:pStyle w:val="Heading4"/>
      </w:pPr>
      <w:r>
        <w:t xml:space="preserve">Ejecución A2 (matemático/estadístico) — 7 días</w:t>
      </w:r>
    </w:p>
    <w:p>
      <w:pPr>
        <w:pStyle w:val="Compact"/>
        <w:numPr>
          <w:ilvl w:val="0"/>
          <w:numId w:val="1021"/>
        </w:numPr>
      </w:pPr>
      <w:r>
        <w:t xml:space="preserve">Día 1–2: borrador</w:t>
      </w:r>
      <w:r>
        <w:t xml:space="preserve"> </w:t>
      </w:r>
      <w:r>
        <w:rPr>
          <w:rStyle w:val="VerbatimChar"/>
        </w:rPr>
        <w:t xml:space="preserve">04_manuscript/A2/manuscript.qmd</w:t>
      </w:r>
      <w:r>
        <w:t xml:space="preserve"> </w:t>
      </w:r>
      <w:r>
        <w:t xml:space="preserve">desde la capa L2 + L3 del meta-prompt PTP/IEP</w:t>
      </w:r>
    </w:p>
    <w:p>
      <w:pPr>
        <w:pStyle w:val="Compact"/>
        <w:numPr>
          <w:ilvl w:val="0"/>
          <w:numId w:val="1021"/>
        </w:numPr>
      </w:pPr>
      <w:r>
        <w:t xml:space="preserve">Día 3: ejecutar</w:t>
      </w:r>
      <w:r>
        <w:t xml:space="preserve"> </w:t>
      </w:r>
      <w:r>
        <w:rPr>
          <w:rStyle w:val="VerbatimChar"/>
        </w:rPr>
        <w:t xml:space="preserve">02_code/10_A2_mathematical_figs.R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03_outputs/A2_run_*/</w:t>
      </w:r>
    </w:p>
    <w:p>
      <w:pPr>
        <w:pStyle w:val="Compact"/>
        <w:numPr>
          <w:ilvl w:val="0"/>
          <w:numId w:val="1021"/>
        </w:numPr>
      </w:pPr>
      <w:r>
        <w:t xml:space="preserve">Día 4: redacción Methods + Findings con énfasis en teoremas con prueba citada</w:t>
      </w:r>
    </w:p>
    <w:p>
      <w:pPr>
        <w:pStyle w:val="Compact"/>
        <w:numPr>
          <w:ilvl w:val="0"/>
          <w:numId w:val="1021"/>
        </w:numPr>
      </w:pPr>
      <w:r>
        <w:t xml:space="preserve">Día 5: Discussion focalizada en sustento matemático</w:t>
      </w:r>
    </w:p>
    <w:p>
      <w:pPr>
        <w:pStyle w:val="Compact"/>
        <w:numPr>
          <w:ilvl w:val="0"/>
          <w:numId w:val="1021"/>
        </w:numPr>
      </w:pPr>
      <w:r>
        <w:t xml:space="preserve">Día 6: cover letter + verification report A2</w:t>
      </w:r>
    </w:p>
    <w:p>
      <w:pPr>
        <w:pStyle w:val="Compact"/>
        <w:numPr>
          <w:ilvl w:val="0"/>
          <w:numId w:val="1021"/>
        </w:numPr>
      </w:pPr>
      <w:r>
        <w:t xml:space="preserve">Día 7: render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+ Zenodo deposit + GitHub tag</w:t>
      </w:r>
    </w:p>
    <w:bookmarkEnd w:id="42"/>
    <w:bookmarkStart w:id="43" w:name="Xf828d719ffe2193871c6f35716f4697f9a4542c"/>
    <w:p>
      <w:pPr>
        <w:pStyle w:val="Heading4"/>
      </w:pPr>
      <w:r>
        <w:t xml:space="preserve">Ejecución A1 (conceptual/fisiológico) — 7 días</w:t>
      </w:r>
    </w:p>
    <w:p>
      <w:pPr>
        <w:pStyle w:val="Compact"/>
        <w:numPr>
          <w:ilvl w:val="0"/>
          <w:numId w:val="1022"/>
        </w:numPr>
      </w:pPr>
      <w:r>
        <w:t xml:space="preserve">Día 8–9: borrador</w:t>
      </w:r>
      <w:r>
        <w:t xml:space="preserve"> </w:t>
      </w:r>
      <w:r>
        <w:rPr>
          <w:rStyle w:val="VerbatimChar"/>
        </w:rPr>
        <w:t xml:space="preserve">04_manuscript/A1/manuscript.qmd</w:t>
      </w:r>
      <w:r>
        <w:t xml:space="preserve"> </w:t>
      </w:r>
      <w:r>
        <w:t xml:space="preserve">desde la capa L1 ontológica</w:t>
      </w:r>
    </w:p>
    <w:p>
      <w:pPr>
        <w:pStyle w:val="Compact"/>
        <w:numPr>
          <w:ilvl w:val="0"/>
          <w:numId w:val="1022"/>
        </w:numPr>
      </w:pPr>
      <w:r>
        <w:t xml:space="preserve">Día 10: figuras conceptuales (</w:t>
      </w:r>
      <w:r>
        <w:rPr>
          <w:rStyle w:val="VerbatimChar"/>
        </w:rPr>
        <w:t xml:space="preserve">10_A1_conceptual_figs.R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Día 11–12: redacción con énfasis en interpretación fisiológica de los 4 ejes mFPCA</w:t>
      </w:r>
    </w:p>
    <w:p>
      <w:pPr>
        <w:pStyle w:val="Compact"/>
        <w:numPr>
          <w:ilvl w:val="0"/>
          <w:numId w:val="1022"/>
        </w:numPr>
      </w:pPr>
      <w:r>
        <w:t xml:space="preserve">Día 13: cover letter + verification A1</w:t>
      </w:r>
    </w:p>
    <w:p>
      <w:pPr>
        <w:pStyle w:val="Compact"/>
        <w:numPr>
          <w:ilvl w:val="0"/>
          <w:numId w:val="1022"/>
        </w:numPr>
      </w:pPr>
      <w:r>
        <w:t xml:space="preserve">Día 14: render + Zenodo + GitHub</w:t>
      </w:r>
    </w:p>
    <w:bookmarkEnd w:id="43"/>
    <w:bookmarkStart w:id="44" w:name="Xe26102577d27cb377d6c54124c9e9556fdb8ae1"/>
    <w:p>
      <w:pPr>
        <w:pStyle w:val="Heading4"/>
      </w:pPr>
      <w:r>
        <w:t xml:space="preserve">Ejecución A3 (metodológico/traslacional) — 7 días</w:t>
      </w:r>
    </w:p>
    <w:p>
      <w:pPr>
        <w:pStyle w:val="Compact"/>
        <w:numPr>
          <w:ilvl w:val="0"/>
          <w:numId w:val="1023"/>
        </w:numPr>
      </w:pPr>
      <w:r>
        <w:t xml:space="preserve">Día 15–16: borrador</w:t>
      </w:r>
      <w:r>
        <w:t xml:space="preserve"> </w:t>
      </w:r>
      <w:r>
        <w:rPr>
          <w:rStyle w:val="VerbatimChar"/>
        </w:rPr>
        <w:t xml:space="preserve">04_manuscript/A3/manuscript.qmd</w:t>
      </w:r>
      <w:r>
        <w:t xml:space="preserve"> </w:t>
      </w:r>
      <w:r>
        <w:t xml:space="preserve">con énfasis en pipeline + protocolo + criterios diagnósticos</w:t>
      </w:r>
    </w:p>
    <w:p>
      <w:pPr>
        <w:pStyle w:val="Compact"/>
        <w:numPr>
          <w:ilvl w:val="0"/>
          <w:numId w:val="1023"/>
        </w:numPr>
      </w:pPr>
      <w:r>
        <w:t xml:space="preserve">Día 17: árbol decisional terapéutico + figura de selección de agonistas</w:t>
      </w:r>
    </w:p>
    <w:p>
      <w:pPr>
        <w:pStyle w:val="Compact"/>
        <w:numPr>
          <w:ilvl w:val="0"/>
          <w:numId w:val="1023"/>
        </w:numPr>
      </w:pPr>
      <w:r>
        <w:t xml:space="preserve">Día 18–19: redacción con foco clínico (obesidad, T2DM, indicación quirúrgica)</w:t>
      </w:r>
    </w:p>
    <w:p>
      <w:pPr>
        <w:pStyle w:val="Compact"/>
        <w:numPr>
          <w:ilvl w:val="0"/>
          <w:numId w:val="1023"/>
        </w:numPr>
      </w:pPr>
      <w:r>
        <w:t xml:space="preserve">Día 20: cover letter + verification A3</w:t>
      </w:r>
    </w:p>
    <w:p>
      <w:pPr>
        <w:pStyle w:val="Compact"/>
        <w:numPr>
          <w:ilvl w:val="0"/>
          <w:numId w:val="1023"/>
        </w:numPr>
      </w:pPr>
      <w:r>
        <w:t xml:space="preserve">Día 21: render + Zenodo + GitHub</w:t>
      </w:r>
    </w:p>
    <w:bookmarkEnd w:id="44"/>
    <w:bookmarkEnd w:id="45"/>
    <w:bookmarkStart w:id="46" w:name="fase-2-submission-3-días"/>
    <w:p>
      <w:pPr>
        <w:pStyle w:val="Heading3"/>
      </w:pPr>
      <w:r>
        <w:t xml:space="preserve">10·3 Fase 2 — Submission (3 días)</w:t>
      </w:r>
    </w:p>
    <w:p>
      <w:pPr>
        <w:pStyle w:val="Compact"/>
        <w:numPr>
          <w:ilvl w:val="0"/>
          <w:numId w:val="1024"/>
        </w:numPr>
      </w:pPr>
      <w:r>
        <w:t xml:space="preserve">Día 22: submission portal Lancet D&amp;E para A2 (primer envío; el más maduro metodológicamente)</w:t>
      </w:r>
    </w:p>
    <w:p>
      <w:pPr>
        <w:pStyle w:val="Compact"/>
        <w:numPr>
          <w:ilvl w:val="0"/>
          <w:numId w:val="1024"/>
        </w:numPr>
      </w:pPr>
      <w:r>
        <w:t xml:space="preserve">Día 23: submission A1</w:t>
      </w:r>
    </w:p>
    <w:p>
      <w:pPr>
        <w:pStyle w:val="Compact"/>
        <w:numPr>
          <w:ilvl w:val="0"/>
          <w:numId w:val="1024"/>
        </w:numPr>
      </w:pPr>
      <w:r>
        <w:t xml:space="preserve">Día 24: submission A3</w:t>
      </w:r>
    </w:p>
    <w:p>
      <w:pPr>
        <w:pStyle w:val="FirstParagraph"/>
      </w:pPr>
      <w:r>
        <w:rPr>
          <w:b/>
          <w:bCs/>
        </w:rPr>
        <w:t xml:space="preserve">Estrategia de espaciado.</w:t>
      </w:r>
      <w:r>
        <w:t xml:space="preserve"> </w:t>
      </w:r>
      <w:r>
        <w:t xml:space="preserve">Lancet D&amp;E permite múltiples submissions del mismo autor pero el editor preferirá ver el portafolio coherente. Considerar enviar A2 primero, esperar 2 semanas, luego A1 y A3 con cover letters que crucen-citen explícitamente A2 como ya en revisión.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métricas-de-éxito-y-criterios-de-cierre"/>
    <w:p>
      <w:pPr>
        <w:pStyle w:val="Heading2"/>
      </w:pPr>
      <w:r>
        <w:t xml:space="preserve">11 · Métricas de éxito y criterios de cierre</w:t>
      </w:r>
    </w:p>
    <w:bookmarkStart w:id="48" w:name="por-artículo"/>
    <w:p>
      <w:pPr>
        <w:pStyle w:val="Heading3"/>
      </w:pPr>
      <w:r>
        <w:t xml:space="preserve">11·1 Por artículo</w:t>
      </w:r>
    </w:p>
    <w:p>
      <w:pPr>
        <w:pStyle w:val="Compact"/>
        <w:numPr>
          <w:ilvl w:val="0"/>
          <w:numId w:val="1025"/>
        </w:numPr>
      </w:pPr>
      <w:r>
        <w:t xml:space="preserve">✓ Render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exitoso sin warnings</w:t>
      </w:r>
    </w:p>
    <w:p>
      <w:pPr>
        <w:pStyle w:val="Compact"/>
        <w:numPr>
          <w:ilvl w:val="0"/>
          <w:numId w:val="1025"/>
        </w:numPr>
      </w:pPr>
      <w:r>
        <w:t xml:space="preserve">✓</w:t>
      </w:r>
      <w:r>
        <w:t xml:space="preserve"> </w:t>
      </w:r>
      <w:r>
        <w:rPr>
          <w:rStyle w:val="VerbatimChar"/>
        </w:rPr>
        <w:t xml:space="preserve">verification_report.md</w:t>
      </w:r>
      <w:r>
        <w:t xml:space="preserve"> </w:t>
      </w:r>
      <w:r>
        <w:t xml:space="preserve">con 0 hits a F1–F9</w:t>
      </w:r>
    </w:p>
    <w:p>
      <w:pPr>
        <w:pStyle w:val="Compact"/>
        <w:numPr>
          <w:ilvl w:val="0"/>
          <w:numId w:val="1025"/>
        </w:numPr>
      </w:pPr>
      <w:r>
        <w:t xml:space="preserve">✓</w:t>
      </w:r>
      <w:r>
        <w:t xml:space="preserve"> </w:t>
      </w:r>
      <w:r>
        <w:rPr>
          <w:rStyle w:val="VerbatimChar"/>
        </w:rPr>
        <w:t xml:space="preserve">numerical_ledger.md</w:t>
      </w:r>
      <w:r>
        <w:t xml:space="preserve"> </w:t>
      </w:r>
      <w:r>
        <w:t xml:space="preserve">consistente con master ledger</w:t>
      </w:r>
    </w:p>
    <w:p>
      <w:pPr>
        <w:pStyle w:val="Compact"/>
        <w:numPr>
          <w:ilvl w:val="0"/>
          <w:numId w:val="1025"/>
        </w:numPr>
      </w:pPr>
      <w:r>
        <w:t xml:space="preserve">✓ ≥ 80% referencias clínicas IF &gt; 10 (A1, A3)</w:t>
      </w:r>
    </w:p>
    <w:p>
      <w:pPr>
        <w:pStyle w:val="Compact"/>
        <w:numPr>
          <w:ilvl w:val="0"/>
          <w:numId w:val="1025"/>
        </w:numPr>
      </w:pPr>
      <w:r>
        <w:t xml:space="preserve">✓ Word count en límite Lancet</w:t>
      </w:r>
    </w:p>
    <w:p>
      <w:pPr>
        <w:pStyle w:val="Compact"/>
        <w:numPr>
          <w:ilvl w:val="0"/>
          <w:numId w:val="1025"/>
        </w:numPr>
      </w:pPr>
      <w:r>
        <w:t xml:space="preserve">✓ 4 display items 300 dpi</w:t>
      </w:r>
    </w:p>
    <w:p>
      <w:pPr>
        <w:pStyle w:val="Compact"/>
        <w:numPr>
          <w:ilvl w:val="0"/>
          <w:numId w:val="1025"/>
        </w:numPr>
      </w:pPr>
      <w:r>
        <w:t xml:space="preserve">✓ Zenodo v2·0-A{i} depositado con DOI mintado</w:t>
      </w:r>
    </w:p>
    <w:p>
      <w:pPr>
        <w:pStyle w:val="Compact"/>
        <w:numPr>
          <w:ilvl w:val="0"/>
          <w:numId w:val="1025"/>
        </w:numPr>
      </w:pPr>
      <w:r>
        <w:t xml:space="preserve">✓ GitHub tag</w:t>
      </w:r>
      <w:r>
        <w:t xml:space="preserve"> </w:t>
      </w:r>
      <w:r>
        <w:rPr>
          <w:rStyle w:val="VerbatimChar"/>
        </w:rPr>
        <w:t xml:space="preserve">A{i}-submitted-YYYY-MM-DD</w:t>
      </w:r>
      <w:r>
        <w:t xml:space="preserve"> </w:t>
      </w:r>
      <w:r>
        <w:t xml:space="preserve">creado</w:t>
      </w:r>
    </w:p>
    <w:bookmarkEnd w:id="48"/>
    <w:bookmarkStart w:id="49" w:name="trilogía-completa"/>
    <w:p>
      <w:pPr>
        <w:pStyle w:val="Heading3"/>
      </w:pPr>
      <w:r>
        <w:t xml:space="preserve">11·2 Trilogía completa</w:t>
      </w:r>
    </w:p>
    <w:p>
      <w:pPr>
        <w:pStyle w:val="Compact"/>
        <w:numPr>
          <w:ilvl w:val="0"/>
          <w:numId w:val="1026"/>
        </w:numPr>
      </w:pPr>
      <w:r>
        <w:t xml:space="preserve">✓ Tres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submission-ready en</w:t>
      </w:r>
      <w:r>
        <w:t xml:space="preserve"> </w:t>
      </w:r>
      <w:r>
        <w:rPr>
          <w:rStyle w:val="VerbatimChar"/>
        </w:rPr>
        <w:t xml:space="preserve">04_manuscript/A{1,2,3}/</w:t>
      </w:r>
    </w:p>
    <w:p>
      <w:pPr>
        <w:pStyle w:val="Compact"/>
        <w:numPr>
          <w:ilvl w:val="0"/>
          <w:numId w:val="1026"/>
        </w:numPr>
      </w:pPr>
      <w:r>
        <w:t xml:space="preserve">✓ Cifras coherentes entre los tres artículos (anti-F8 cross-article)</w:t>
      </w:r>
    </w:p>
    <w:p>
      <w:pPr>
        <w:pStyle w:val="Compact"/>
        <w:numPr>
          <w:ilvl w:val="0"/>
          <w:numId w:val="1026"/>
        </w:numPr>
      </w:pPr>
      <w:r>
        <w:t xml:space="preserve">✓ Zero overlap de findings primarios entre artículos</w:t>
      </w:r>
    </w:p>
    <w:p>
      <w:pPr>
        <w:pStyle w:val="Compact"/>
        <w:numPr>
          <w:ilvl w:val="0"/>
          <w:numId w:val="1026"/>
        </w:numPr>
      </w:pPr>
      <w:r>
        <w:t xml:space="preserve">✓ OSF sub-componentes /A1, /A2, /A3 enlazados al master</w:t>
      </w:r>
    </w:p>
    <w:p>
      <w:pPr>
        <w:pStyle w:val="Compact"/>
        <w:numPr>
          <w:ilvl w:val="0"/>
          <w:numId w:val="1026"/>
        </w:numPr>
      </w:pPr>
      <w:r>
        <w:t xml:space="preserve">✓ Reviewers sugeridos diferenciados (mínimo 3 únicos por artículo)</w:t>
      </w:r>
    </w:p>
    <w:p>
      <w:pPr>
        <w:pStyle w:val="Compact"/>
        <w:numPr>
          <w:ilvl w:val="0"/>
          <w:numId w:val="1026"/>
        </w:numPr>
      </w:pPr>
      <w:r>
        <w:t xml:space="preserve">✓ Cross-citation policy: A1/A3 pueden citar A2 cuando esté en revisión (acknowledged como sister manuscript); A2 NO cita A1/A3 (independencia metodológica)</w:t>
      </w:r>
    </w:p>
    <w:bookmarkEnd w:id="49"/>
    <w:bookmarkStart w:id="50" w:name="métricas-de-hardware-post-runs"/>
    <w:p>
      <w:pPr>
        <w:pStyle w:val="Heading3"/>
      </w:pPr>
      <w:r>
        <w:t xml:space="preserve">11·3 Métricas de hardware (post-runs)</w:t>
      </w:r>
    </w:p>
    <w:p>
      <w:pPr>
        <w:pStyle w:val="Compact"/>
        <w:numPr>
          <w:ilvl w:val="0"/>
          <w:numId w:val="1027"/>
        </w:numPr>
      </w:pPr>
      <w:r>
        <w:t xml:space="preserve">✓ Tiempo de render por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: &lt; 30 s</w:t>
      </w:r>
    </w:p>
    <w:p>
      <w:pPr>
        <w:pStyle w:val="Compact"/>
        <w:numPr>
          <w:ilvl w:val="0"/>
          <w:numId w:val="1027"/>
        </w:numPr>
      </w:pPr>
      <w:r>
        <w:t xml:space="preserve">✓ Pipeline completo (16 scripts) end-to-end: &lt; 30 min con paralelismo 8 cores</w:t>
      </w:r>
    </w:p>
    <w:p>
      <w:pPr>
        <w:pStyle w:val="Compact"/>
        <w:numPr>
          <w:ilvl w:val="0"/>
          <w:numId w:val="1027"/>
        </w:numPr>
      </w:pPr>
      <w:r>
        <w:t xml:space="preserve">✓ Memoria pico durante MFPCA + bootstrap: &lt; 16 GB</w:t>
      </w:r>
    </w:p>
    <w:p>
      <w:pPr>
        <w:pStyle w:val="Compact"/>
        <w:numPr>
          <w:ilvl w:val="0"/>
          <w:numId w:val="1027"/>
        </w:numPr>
      </w:pPr>
      <w:r>
        <w:t xml:space="preserve">✓ Disk usage del workspace completo (incluyendo 03_outputs A1/A2/A3): &lt; 5 GB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iesgos-y-contingencias"/>
    <w:p>
      <w:pPr>
        <w:pStyle w:val="Heading2"/>
      </w:pPr>
      <w:r>
        <w:t xml:space="preserve">12 · Riesgos y contingencias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 de Lancet considera los 3 artículos como</w:t>
            </w:r>
            <w:r>
              <w:t xml:space="preserve"> </w:t>
            </w:r>
            <w:r>
              <w:t xml:space="preserve">“salami slicing”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Cover letters explican capas L1/L2/L3 como diferenciación legítima; A2 puede dirigirse a</w:t>
            </w:r>
            <w:r>
              <w:t xml:space="preserve"> </w:t>
            </w:r>
            <w:r>
              <w:rPr>
                <w:i/>
                <w:iCs/>
              </w:rPr>
              <w:t xml:space="preserve">Statistics in Medicine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i/>
                <w:iCs/>
              </w:rPr>
              <w:t xml:space="preserve">Biometrics</w:t>
            </w:r>
            <w:r>
              <w:t xml:space="preserve"> </w:t>
            </w:r>
            <w:r>
              <w:t xml:space="preserve">como alternativa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Solapamiento detectado por iThenticate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Cada artículo redactado de novo desde el meta-prompt; cifras compartidas son inevitables pero la prosa es independiente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 no instalado bloquea PDF nativo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es el formato canónico Lancet; PDF se genera desde Word/Pages externamente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OSF no permite sub-componentes anidados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Plan B: tres pre-registros independientes con cross-reference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Reviewers solicitan datos individuales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Pre-registrado como ecological proof-of-concept; declarado en Methods + Limitations +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4 ejes mFPCA del A1 no admiten interpretación fisiológica clean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A1 dependiente del mismo run del PTP/IEP master; los 4 ejes ya tienen anotación preliminar (PC1=PYY/incretin; PC2=early/late; PC3=biphasic; PC4=ghrelin); A1 las desarrolla con literatura IF &gt;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7" w:name="cláusulas-finales"/>
    <w:p>
      <w:pPr>
        <w:pStyle w:val="Heading2"/>
      </w:pPr>
      <w:r>
        <w:t xml:space="preserve">13 · Cláusulas finales</w:t>
      </w:r>
    </w:p>
    <w:bookmarkStart w:id="53" w:name="Xf744dd307b1548b99c0dc0da1367d077e036dd2"/>
    <w:p>
      <w:pPr>
        <w:pStyle w:val="Heading3"/>
      </w:pPr>
      <w:r>
        <w:t xml:space="preserve">13·1 Disclosure verbatim (obligatoria en los tres artículos)</w:t>
      </w:r>
    </w:p>
    <w:p>
      <w:pPr>
        <w:pStyle w:val="BlockText"/>
      </w:pPr>
      <w:r>
        <w:t xml:space="preserve">“Analytic pipeline design, R code implementation, and manuscript drafting were supported by Claude (Anthropic, Opus 4.7 / Sonnet 4.6, May 2026). All statistical outputs, pre-registration decisions, and scientific claims were validated by the author against the v10·0 master analysis plan (OSF DOI 10.17605/OSF.IO/3CZRE) and the FDEP-TP framework v2·0 reference document.”</w:t>
      </w:r>
    </w:p>
    <w:bookmarkEnd w:id="53"/>
    <w:bookmarkStart w:id="54" w:name="funding-statement-verbatim"/>
    <w:p>
      <w:pPr>
        <w:pStyle w:val="Heading3"/>
      </w:pPr>
      <w:r>
        <w:t xml:space="preserve">13·2 Funding statement verbatim</w:t>
      </w:r>
    </w:p>
    <w:p>
      <w:pPr>
        <w:pStyle w:val="BlockText"/>
      </w:pPr>
      <w:r>
        <w:t xml:space="preserve">“None. The author had full access to all data and final responsibility for the decision to submit for publication.”</w:t>
      </w:r>
    </w:p>
    <w:bookmarkEnd w:id="54"/>
    <w:bookmarkStart w:id="55" w:name="competing-interests"/>
    <w:p>
      <w:pPr>
        <w:pStyle w:val="Heading3"/>
      </w:pPr>
      <w:r>
        <w:t xml:space="preserve">13·3 Competing interests</w:t>
      </w:r>
    </w:p>
    <w:p>
      <w:pPr>
        <w:pStyle w:val="BlockText"/>
      </w:pPr>
      <w:r>
        <w:t xml:space="preserve">“The author declares no competing interests, no industry support, and no funding for this work.”</w:t>
      </w:r>
    </w:p>
    <w:bookmarkEnd w:id="55"/>
    <w:bookmarkStart w:id="56" w:name="data-sharing-verbatim"/>
    <w:p>
      <w:pPr>
        <w:pStyle w:val="Heading3"/>
      </w:pPr>
      <w:r>
        <w:t xml:space="preserve">13·4 Data sharing verbatim</w:t>
      </w:r>
    </w:p>
    <w:p>
      <w:pPr>
        <w:pStyle w:val="BlockText"/>
      </w:pPr>
      <w:r>
        <w:t xml:space="preserve">“All digitised periprandial trajectories, the harmonised cohort corpus (</w:t>
      </w:r>
      <w:r>
        <w:rPr>
          <w:rStyle w:val="VerbatimChar"/>
        </w:rPr>
        <w:t xml:space="preserve">master_table.csv</w:t>
      </w:r>
      <w:r>
        <w:t xml:space="preserve">, SHA-256</w:t>
      </w:r>
      <w:r>
        <w:t xml:space="preserve"> </w:t>
      </w:r>
      <w:r>
        <w:rPr>
          <w:rStyle w:val="VerbatimChar"/>
        </w:rPr>
        <w:t xml:space="preserve">2829cd78018e411783671ec00f849647858bda552cfa4ec23ad505ba9704a117</w:t>
      </w:r>
      <w:r>
        <w:t xml:space="preserve">), the 16-script analytic pipeline, the article-specific outputs, and the reproducibility scripts are deposited at Zenodo (concept DOI 10.5281/zenodo.19743544; article-specific version DOIs cited in each manuscript) and GitHub (</w:t>
      </w:r>
      <w:r>
        <w:rPr>
          <w:rStyle w:val="VerbatimChar"/>
        </w:rPr>
        <w:t xml:space="preserve">sv8wmxnbp8-hash/EPP10</w:t>
      </w:r>
      <w:r>
        <w:t xml:space="preserve"> </w:t>
      </w:r>
      <w:r>
        <w:t xml:space="preserve">v1·3 and subsequent branches) under CC-BY 4·0. The repository permits full reproduction of every numerical claim and follows FAIR data principles. Pre-registration is at the Open Science Framework (DOI 10.17605/OSF.IO/3CZRE; project at https://osf.io/tr469, frozen 2026-04-22).”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meta-prompt.</w:t>
      </w:r>
    </w:p>
    <w:p>
      <w:pPr>
        <w:pStyle w:val="BodyText"/>
      </w:pPr>
      <w:r>
        <w:rPr>
          <w:b/>
          <w:bCs/>
        </w:rPr>
        <w:t xml:space="preserve">Para iniciar la ejecución:</w:t>
      </w:r>
      <w:r>
        <w:t xml:space="preserve"> </w:t>
      </w:r>
      <w:r>
        <w:t xml:space="preserve">abrir nueva sesión Claude con este documento adjunto + los tres documentos fuente referenciados +</w:t>
      </w:r>
      <w:r>
        <w:t xml:space="preserve"> </w:t>
      </w:r>
      <w:r>
        <w:rPr>
          <w:rStyle w:val="VerbatimChar"/>
        </w:rPr>
        <w:t xml:space="preserve">master_table.csv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lancet_de_v1.qmd</w:t>
      </w:r>
      <w:r>
        <w:t xml:space="preserve">, y ordenar:</w:t>
      </w:r>
      <w:r>
        <w:t xml:space="preserve"> </w:t>
      </w:r>
      <w:r>
        <w:rPr>
          <w:i/>
          <w:iCs/>
        </w:rPr>
        <w:t xml:space="preserve">“Ejecuta la Fase 0 del meta-prompt y produce el borrador inicial de A2 manuscript.qmd.”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2026-05-09T18:21:26Z</dcterms:created>
  <dcterms:modified xsi:type="dcterms:W3CDTF">2026-05-09T18:21:26Z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