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8 May 2026</w:t>
      </w:r>
    </w:p>
    <w:p>
      <w:pPr>
        <w:pStyle w:val="BodyText"/>
      </w:pPr>
      <w:r>
        <w:t xml:space="preserve">The Editor</w:t>
      </w:r>
      <w:r>
        <w:t xml:space="preserve"> </w:t>
      </w:r>
      <w:r>
        <w:rPr>
          <w:i/>
          <w:iCs/>
        </w:rPr>
        <w:t xml:space="preserve">The Lancet Diabetes &amp; Endocrinology</w:t>
      </w:r>
      <w:r>
        <w:t xml:space="preserve"> </w:t>
      </w:r>
      <w:r>
        <w:t xml:space="preserve">125 London Wall</w:t>
      </w:r>
      <w:r>
        <w:t xml:space="preserve"> </w:t>
      </w:r>
      <w:r>
        <w:t xml:space="preserve">London EC2Y 5AS, United Kingdom</w:t>
      </w:r>
    </w:p>
    <w:p>
      <w:pPr>
        <w:pStyle w:val="BodyText"/>
      </w:pPr>
      <w:r>
        <w:rPr>
          <w:b/>
          <w:bCs/>
        </w:rPr>
        <w:t xml:space="preserve">Re:</w:t>
      </w:r>
      <w:r>
        <w:t xml:space="preserve"> </w:t>
      </w:r>
      <w:r>
        <w:t xml:space="preserve">Submission of an original Article —</w:t>
      </w:r>
      <w:r>
        <w:t xml:space="preserve"> </w:t>
      </w:r>
      <w:r>
        <w:rPr>
          <w:i/>
          <w:iCs/>
        </w:rPr>
        <w:t xml:space="preserve">Periprandial Transition Profiles and Integrated Enteropancreatic Patterns I–V: multivariate functional principal component analysis of gut–pancreas hormone trajectories across health, type 2 diabetes, and metabolic surgery</w:t>
      </w:r>
    </w:p>
    <w:p>
      <w:pPr>
        <w:pStyle w:val="BodyText"/>
      </w:pPr>
      <w:r>
        <w:t xml:space="preserve">Dear Editor,</w:t>
      </w:r>
    </w:p>
    <w:p>
      <w:pPr>
        <w:pStyle w:val="BodyText"/>
      </w:pPr>
      <w:r>
        <w:t xml:space="preserve">I am pleased to submit for your consideration an Article reporting the Periprandial Transition Profile (PTP) and Integrated Enteropancreatic Pattern (IEP) classification framework — a deterministic, axiomatised methodology for characterising multi-hormonal periprandial trajectories across health, type 2 diabetes, caloric restriction, and metabolic surgery.</w:t>
      </w:r>
    </w:p>
    <w:p>
      <w:pPr>
        <w:pStyle w:val="BodyText"/>
      </w:pPr>
      <w:r>
        <w:rPr>
          <w:b/>
          <w:bCs/>
        </w:rPr>
        <w:t xml:space="preserve">Methodological gap.</w:t>
      </w:r>
      <w:r>
        <w:t xml:space="preserve"> </w:t>
      </w:r>
      <w:r>
        <w:t xml:space="preserve">Existing data-driven taxonomies of metabolic disease — the Ahlqvist five-cluster classification, the Udler genetically-informed soft clusters, the Tübingen prediabetes subphenotypes, and the German Diabetes Study — decompose static cross-sectional variables. Functional analyses of glucose curves (Frøslie 2013, Hulman 2018, Schumock 2024, Gecili 2020) demonstrate that shape information predicts diabetes incidence and aging outcomes beyond glycaemic averages, but each is restricted to a single trajectory. No published taxonomy applies multivariate functional principal component analysis to a complete enteropancreatic panel — GLP-1, GIP, ghrelin, PYY, glucagon, insulin, and glucose — across health, T2DM, caloric restriction, and metabolic surgery. The clinical interpretation of periprandial responses thus remains dominated by area-under-the-curve summaries that discard the temporal geometry our framework exists to capture.</w:t>
      </w:r>
    </w:p>
    <w:p>
      <w:pPr>
        <w:pStyle w:val="BodyText"/>
      </w:pPr>
      <w:r>
        <w:rPr>
          <w:b/>
          <w:bCs/>
        </w:rPr>
        <w:t xml:space="preserve">Journal precedent.</w:t>
      </w:r>
      <w:r>
        <w:t xml:space="preserve"> </w:t>
      </w:r>
      <w:r>
        <w:t xml:space="preserve">The Lancet Diabetes &amp; Endocrinology has set the standard for data-driven phenotyping in metabolic disease (Ahlqvist 2018) and for the recent Commission on the definition and diagnostic criteria of clinical obesity (Rubino 2025). The present manuscript extends this trajectory to the joint enteropancreatic axis, anchoring the construction with eight axioms cited as theorems with proof references (Mercer 1909; Yao–Müller–Wang 2005; Hall–Müller–Wang 2006; Hsing–Eubank 2015; Chiou 2014; Happ–Greven 2018; Ramsay &amp; Silverman 2005) rather than as modelling assumptions. The framework is positioned alongside contemporary tirzepatide and triple-agonist literature (Frías 2021 SURPASS-2; Rubino 2025) to make integrated multi-hormonal phenotyping a translational priority.</w:t>
      </w:r>
    </w:p>
    <w:p>
      <w:pPr>
        <w:pStyle w:val="BodyText"/>
      </w:pPr>
      <w:r>
        <w:rPr>
          <w:b/>
          <w:bCs/>
        </w:rPr>
        <w:t xml:space="preserve">Contribution.</w:t>
      </w:r>
      <w:r>
        <w:t xml:space="preserve"> </w:t>
      </w:r>
      <w:r>
        <w:t xml:space="preserve">From 23 published cohort-time-arms across seven cohorts, the regenerated pipeline (master input SHA-256</w:t>
      </w:r>
      <w:r>
        <w:t xml:space="preserve"> </w:t>
      </w:r>
      <w:r>
        <w:rPr>
          <w:rStyle w:val="VerbatimChar"/>
        </w:rPr>
        <w:t xml:space="preserve">2829cd78…</w:t>
      </w:r>
      <w:r>
        <w:t xml:space="preserve">) produced a 12-component joint operator capturing 92 % of joint variance with the smallest-block constraint enforced (n=350 multivariate panel). Three findings refine prior accounts. First,</w:t>
      </w:r>
      <w:r>
        <w:t xml:space="preserve"> </w:t>
      </w:r>
      <w:r>
        <w:rPr>
          <w:b/>
          <w:bCs/>
        </w:rPr>
        <w:t xml:space="preserve">Type V (enhanced–mixed with residual dysglycaemia) is bariatric-dominant rather than RYGBP-exclusive</w:t>
      </w:r>
      <w:r>
        <w:t xml:space="preserve"> </w:t>
      </w:r>
      <w:r>
        <w:t xml:space="preserve">— 43·3 % of RYGBP and 30·7 % of SG, statistically separated from the non-obese without T2D reference at Bonferroni q=0·035. Second,</w:t>
      </w:r>
      <w:r>
        <w:t xml:space="preserve"> </w:t>
      </w:r>
      <w:r>
        <w:rPr>
          <w:b/>
          <w:bCs/>
        </w:rPr>
        <w:t xml:space="preserve">Type III (infra-physiological) dominates obesity+T2DM (40·0 %) and caloric restriction (36·8 %)</w:t>
      </w:r>
      <w:r>
        <w:t xml:space="preserve">, indicating that partial glycaemic remission is accompanied by persistent dysphysiological enteropancreatic signalling rather than uniform normalisation. Third, the integrated incretin loading on the first joint eigenfunction is 0·211, with PYY total dominating (0·76) — an emergent feature of Chiou-normalised joint estimation that captures distal L-cell variation as the dominant axis of cohort separation.</w:t>
      </w:r>
    </w:p>
    <w:p>
      <w:pPr>
        <w:pStyle w:val="BodyText"/>
      </w:pPr>
      <w:r>
        <w:rPr>
          <w:b/>
          <w:bCs/>
        </w:rPr>
        <w:t xml:space="preserve">Reproducibility.</w:t>
      </w:r>
      <w:r>
        <w:t xml:space="preserve"> </w:t>
      </w:r>
      <w:r>
        <w:t xml:space="preserve">The complete pipeline (16 R scripts) and all numerical outputs are deposited at Zenodo (concept DOI 10.5281/zenodo.19743544; v1·3 DOI 10.5281/zenodo.19758429) and GitHub (</w:t>
      </w:r>
      <w:r>
        <w:rPr>
          <w:rStyle w:val="VerbatimChar"/>
        </w:rPr>
        <w:t xml:space="preserve">sv8wmxnbp8-hash/EPP10</w:t>
      </w:r>
      <w:r>
        <w:t xml:space="preserve"> </w:t>
      </w:r>
      <w:r>
        <w:t xml:space="preserve">v1·3) under CC-BY 4·0. The protocol is pre-registered at the Open Science Framework (DOI 10.17605/OSF.IO/3CZRE; project at https://osf.io/tr469, frozen 2026-04-22). The manuscript has not been previously published or deposited as a preprint and is not under consideration elsewhere.</w:t>
      </w:r>
    </w:p>
    <w:p>
      <w:pPr>
        <w:pStyle w:val="BodyText"/>
      </w:pPr>
      <w:r>
        <w:rPr>
          <w:b/>
          <w:bCs/>
        </w:rPr>
        <w:t xml:space="preserve">Suggested reviewers.</w:t>
      </w:r>
    </w:p>
    <w:p>
      <w:pPr>
        <w:pStyle w:val="Compact"/>
        <w:numPr>
          <w:ilvl w:val="0"/>
          <w:numId w:val="1001"/>
        </w:numPr>
      </w:pPr>
      <w:r>
        <w:rPr>
          <w:b/>
          <w:bCs/>
        </w:rPr>
        <w:t xml:space="preserve">Robert Wagner</w:t>
      </w:r>
      <w:r>
        <w:t xml:space="preserve">, University of Tübingen — dynamic OGTT subphenotyping (</w:t>
      </w:r>
      <w:r>
        <w:rPr>
          <w:i/>
          <w:iCs/>
        </w:rPr>
        <w:t xml:space="preserve">Nat Med</w:t>
      </w:r>
      <w:r>
        <w:t xml:space="preserve"> </w:t>
      </w:r>
      <w:r>
        <w:t xml:space="preserve">2021).</w:t>
      </w:r>
    </w:p>
    <w:p>
      <w:pPr>
        <w:pStyle w:val="Compact"/>
        <w:numPr>
          <w:ilvl w:val="0"/>
          <w:numId w:val="1001"/>
        </w:numPr>
      </w:pPr>
      <w:r>
        <w:rPr>
          <w:b/>
          <w:bCs/>
        </w:rPr>
        <w:t xml:space="preserve">Kathrine F. Frøslie</w:t>
      </w:r>
      <w:r>
        <w:t xml:space="preserve">, University of Oslo — FPCA in glucose curves (</w:t>
      </w:r>
      <w:r>
        <w:rPr>
          <w:i/>
          <w:iCs/>
        </w:rPr>
        <w:t xml:space="preserve">BMC Med Res Methodol</w:t>
      </w:r>
      <w:r>
        <w:t xml:space="preserve"> </w:t>
      </w:r>
      <w:r>
        <w:t xml:space="preserve">2013).</w:t>
      </w:r>
    </w:p>
    <w:p>
      <w:pPr>
        <w:pStyle w:val="Compact"/>
        <w:numPr>
          <w:ilvl w:val="0"/>
          <w:numId w:val="1001"/>
        </w:numPr>
      </w:pPr>
      <w:r>
        <w:rPr>
          <w:b/>
          <w:bCs/>
        </w:rPr>
        <w:t xml:space="preserve">Kirstine N. Bojsen-Møller</w:t>
      </w:r>
      <w:r>
        <w:t xml:space="preserve">, Hvidovre Hospital — post-bariatric gut hormone dynamics (</w:t>
      </w:r>
      <w:r>
        <w:rPr>
          <w:i/>
          <w:iCs/>
        </w:rPr>
        <w:t xml:space="preserve">Diabetes</w:t>
      </w:r>
      <w:r>
        <w:t xml:space="preserve"> </w:t>
      </w:r>
      <w:r>
        <w:t xml:space="preserve">2014).</w:t>
      </w:r>
    </w:p>
    <w:p>
      <w:pPr>
        <w:pStyle w:val="Compact"/>
        <w:numPr>
          <w:ilvl w:val="0"/>
          <w:numId w:val="1001"/>
        </w:numPr>
      </w:pPr>
      <w:r>
        <w:rPr>
          <w:b/>
          <w:bCs/>
        </w:rPr>
        <w:t xml:space="preserve">Sonja Greven</w:t>
      </w:r>
      <w:r>
        <w:t xml:space="preserve">, Humboldt University Berlin — mFPCA methodology (</w:t>
      </w:r>
      <w:r>
        <w:rPr>
          <w:i/>
          <w:iCs/>
        </w:rPr>
        <w:t xml:space="preserve">JASA</w:t>
      </w:r>
      <w:r>
        <w:t xml:space="preserve"> </w:t>
      </w:r>
      <w:r>
        <w:t xml:space="preserve">2018).</w:t>
      </w:r>
    </w:p>
    <w:p>
      <w:pPr>
        <w:pStyle w:val="Compact"/>
        <w:numPr>
          <w:ilvl w:val="0"/>
          <w:numId w:val="1001"/>
        </w:numPr>
      </w:pPr>
      <w:r>
        <w:rPr>
          <w:b/>
          <w:bCs/>
        </w:rPr>
        <w:t xml:space="preserve">Hans-Georg Müller</w:t>
      </w:r>
      <w:r>
        <w:t xml:space="preserve">, University of California, Davis — PACE/FPCA methodology (</w:t>
      </w:r>
      <w:r>
        <w:rPr>
          <w:i/>
          <w:iCs/>
        </w:rPr>
        <w:t xml:space="preserve">JASA</w:t>
      </w:r>
      <w:r>
        <w:t xml:space="preserve"> </w:t>
      </w:r>
      <w:r>
        <w:t xml:space="preserve">2005).</w:t>
      </w:r>
    </w:p>
    <w:p>
      <w:pPr>
        <w:pStyle w:val="FirstParagraph"/>
      </w:pPr>
      <w:r>
        <w:rPr>
          <w:b/>
          <w:bCs/>
        </w:rPr>
        <w:t xml:space="preserve">Excluded reviewers.</w:t>
      </w:r>
      <w:r>
        <w:t xml:space="preserve"> </w:t>
      </w:r>
      <w:r>
        <w:t xml:space="preserve">None. The author declares no competing interests, no industry support, and no funding for this work.</w:t>
      </w:r>
    </w:p>
    <w:p>
      <w:pPr>
        <w:pStyle w:val="BodyText"/>
      </w:pPr>
      <w:r>
        <w:t xml:space="preserve">I confirm that this manuscript has not been published elsewhere, is not under simultaneous consideration by another journal, and that the author had full access to all data and final responsibility for the decision to submit. The AI/LLM disclosure is included in the manuscript per Lancet policy.</w:t>
      </w:r>
    </w:p>
    <w:p>
      <w:pPr>
        <w:pStyle w:val="BodyText"/>
      </w:pPr>
      <w:r>
        <w:t xml:space="preserve">I look forward to your editorial assessment.</w:t>
      </w:r>
    </w:p>
    <w:p>
      <w:pPr>
        <w:pStyle w:val="BodyText"/>
      </w:pPr>
      <w:r>
        <w:t xml:space="preserve">Yours sincerely,</w:t>
      </w:r>
    </w:p>
    <w:p>
      <w:pPr>
        <w:pStyle w:val="BodyText"/>
      </w:pPr>
      <w:r>
        <w:rPr>
          <w:b/>
          <w:bCs/>
        </w:rPr>
        <w:t xml:space="preserve">Héctor M. Virgen-Ayala, MD</w:t>
      </w:r>
      <w:r>
        <w:t xml:space="preserve"> </w:t>
      </w:r>
      <w:r>
        <w:t xml:space="preserve">ORCID 0009-0006-2081-2286</w:t>
      </w:r>
      <w:r>
        <w:t xml:space="preserve"> </w:t>
      </w:r>
      <w:r>
        <w:t xml:space="preserve">Department of Surgical Clinics, Universidad de Guadalajara</w:t>
      </w:r>
      <w:r>
        <w:t xml:space="preserve"> </w:t>
      </w:r>
      <w:r>
        <w:t xml:space="preserve">Sierra Mojada 950, Col. Independencia, 44340 Guadalajara, Jalisco, Mexico</w:t>
      </w:r>
      <w:r>
        <w:t xml:space="preserve"> </w:t>
      </w:r>
      <w:r>
        <w:t xml:space="preserve">Email: hectorvirgenmd@gmail.com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2026-05-09T00:32:26Z</dcterms:created>
  <dcterms:modified xsi:type="dcterms:W3CDTF">2026-05-09T00:32:26Z</dcterms:modified>
</cp:coreProperties>
</file>

<file path=docProps/custom.xml><?xml version="1.0" encoding="utf-8"?>
<Properties xmlns="http://schemas.openxmlformats.org/officeDocument/2006/custom-properties" xmlns:vt="http://schemas.openxmlformats.org/officeDocument/2006/docPropsVTypes"/>
</file>