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2cb3600427cba6251bd1d77c8cc461d1173a44"/>
    <w:p>
      <w:pPr>
        <w:pStyle w:val="Heading1"/>
      </w:pPr>
      <w:r>
        <w:t xml:space="preserve">Cover letter — Article A3 submission to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pPr>
        <w:pStyle w:val="FirstParagraph"/>
      </w:pPr>
      <w:r>
        <w:rPr>
          <w:b/>
          <w:bCs/>
        </w:rPr>
        <w:t xml:space="preserve">Date.</w:t>
      </w:r>
      <w:r>
        <w:t xml:space="preserve"> </w:t>
      </w:r>
      <w:r>
        <w:t xml:space="preserve">2026-05-09</w:t>
      </w:r>
      <w:r>
        <w:t xml:space="preserve"> </w:t>
      </w:r>
      <w:r>
        <w:rPr>
          <w:b/>
          <w:bCs/>
        </w:rPr>
        <w:t xml:space="preserve">Author.</w:t>
      </w:r>
      <w:r>
        <w:t xml:space="preserve"> </w:t>
      </w:r>
      <w:r>
        <w:t xml:space="preserve">Dr. Héctor M. Virgen-Ayala, MD PhD · ORCID 0009-0006-2081-2286 · Universidad de Guadalajara / Instituto Mexicano del Seguro Social, Guadalajara, Mexico · hectorvirgenmd@gmail.com</w:t>
      </w:r>
    </w:p>
    <w:p>
      <w:pPr>
        <w:pStyle w:val="BodyText"/>
      </w:pPr>
      <w:r>
        <w:rPr>
          <w:b/>
          <w:bCs/>
        </w:rPr>
        <w:t xml:space="preserve">To.</w:t>
      </w:r>
      <w:r>
        <w:t xml:space="preserve"> </w:t>
      </w:r>
      <w:r>
        <w:t xml:space="preserve">The Editors,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pleased to submit</w:t>
      </w:r>
      <w:r>
        <w:t xml:space="preserve"> </w:t>
      </w:r>
      <w:r>
        <w:rPr>
          <w:i/>
          <w:iCs/>
        </w:rPr>
        <w:t xml:space="preserve">Methodological and translational foundations of the FDEP-TP framework: PACE-mFPCA pipeline, PTP/IEP classification, and clinical implications across obesity, type 2 diabetes, and metabolic surgery</w:t>
      </w:r>
      <w:r>
        <w:t xml:space="preserve"> </w:t>
      </w:r>
      <w:r>
        <w:t xml:space="preserve">as an Original Research Article for consideration in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Clinical translational gap.</w:t>
      </w:r>
      <w:r>
        <w:t xml:space="preserve"> </w:t>
      </w:r>
      <w:r>
        <w:t xml:space="preserve">Existing data-driven taxonomies of metabolic disease — Ahlqvist five-cluster, Udler soft-genetic, Tübingen prediabetes — classify individuals using static cross-sectional variables and do not generate clinically actionable algorithms keyed to multi-hormonal periprandial dynamics. The present article closes this gap by formalising the Periprandial Type Profile and Integrated Enteropancreatic Pattern hierarchy with explicit eight-rule precedence and three-suffix glycaemic context, and by operationalising it with a sixteen-script reproducible pipeline.</w:t>
      </w:r>
    </w:p>
    <w:p>
      <w:pPr>
        <w:pStyle w:val="BodyText"/>
      </w:pPr>
      <w:r>
        <w:rPr>
          <w:b/>
          <w:bCs/>
        </w:rPr>
        <w:t xml:space="preserve">Lancet D&amp;E precedent.</w:t>
      </w:r>
      <w:r>
        <w:t xml:space="preserve"> </w:t>
      </w:r>
      <w:r>
        <w:t xml:space="preserve">Madsbad 2014 (Lancet D&amp;E 2:152), the 2025 clinical-obesity commission (Rubino 13:221), and Lobato 2025 articulate a tradition of mechanism-to-algorithm translation. Heise 2022 (Lancet D&amp;E 10:418), Frías 2021 (NEJM 385:503), and Rosenstock 2023 (NEJM 389:514) provide pharmacological context for the dual and triple-receptor agonists. The present integrated framework supplies the keyed algorithm these strands invite.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Three signatures emerge from the PTP/IEP classification of 2,750 pseudo-subjects across seven cohorts: (i)</w:t>
      </w:r>
      <w:r>
        <w:t xml:space="preserve"> </w:t>
      </w:r>
      <w:r>
        <w:rPr>
          <w:b/>
          <w:bCs/>
        </w:rPr>
        <w:t xml:space="preserve">Type V is bariatric-dominant rather than RYGBP-exclusive</w:t>
      </w:r>
      <w:r>
        <w:t xml:space="preserve"> </w:t>
      </w:r>
      <w:r>
        <w:t xml:space="preserve">— 43·3 % of RYGBP and 30·7 % of SG, both Bonferroni-adjusted permutation q=0·035; (ii)</w:t>
      </w:r>
      <w:r>
        <w:t xml:space="preserve"> </w:t>
      </w:r>
      <w:r>
        <w:rPr>
          <w:b/>
          <w:bCs/>
        </w:rPr>
        <w:t xml:space="preserve">Type III dominates obesity+T2DM (40·0 %) and post-caloric-restriction (36·8 %)</w:t>
      </w:r>
      <w:r>
        <w:t xml:space="preserve">, reframing partial glycaemic remission as persistent infra-physiological signalling; (iii)</w:t>
      </w:r>
      <w:r>
        <w:t xml:space="preserve"> </w:t>
      </w:r>
      <w:r>
        <w:rPr>
          <w:b/>
          <w:bCs/>
        </w:rPr>
        <w:t xml:space="preserve">Type I·I dominates the non-obese-without-T2D reference</w:t>
      </w:r>
      <w:r>
        <w:t xml:space="preserve"> </w:t>
      </w:r>
      <w:r>
        <w:t xml:space="preserve">(32·2 %), with 23·1 % structural not-classifiable from single-analyte source arms. A clinical-decision algorithm keyed on Type and glycaemic suffix is presented (Table 4 + DI4), including the</w:t>
      </w:r>
      <w:r>
        <w:t xml:space="preserve"> </w:t>
      </w:r>
      <w:r>
        <w:t xml:space="preserve">“Tipo VI”</w:t>
      </w:r>
      <w:r>
        <w:t xml:space="preserve"> </w:t>
      </w:r>
      <w:r>
        <w:t xml:space="preserve">extension for triple-receptor agonists.</w:t>
      </w:r>
    </w:p>
    <w:p>
      <w:pPr>
        <w:pStyle w:val="BodyText"/>
      </w:pPr>
      <w:r>
        <w:rPr>
          <w:b/>
          <w:bCs/>
        </w:rPr>
        <w:t xml:space="preserve">Trilogy position.</w:t>
      </w:r>
      <w:r>
        <w:t xml:space="preserve"> </w:t>
      </w:r>
      <w:r>
        <w:t xml:space="preserve">Companion paper A2 (branch</w:t>
      </w:r>
      <w:r>
        <w:t xml:space="preserve"> </w:t>
      </w:r>
      <w:r>
        <w:rPr>
          <w:rStyle w:val="VerbatimChar"/>
        </w:rPr>
        <w:t xml:space="preserve">lancet-A2-mathematical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A2-submitted-2026-05-09</w:t>
      </w:r>
      <w:r>
        <w:t xml:space="preserve">) supplies the mathematical and statistical layer; A1 supplies the conceptual and physiological layer. Cross-citation: A3 cites A2 for the methodological substrate and A1 for the mechanistic interpretation of the four leading mFPC eigenfunctions; primary findings do not overlap.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16-script pipeline plus</w:t>
      </w:r>
      <w:r>
        <w:t xml:space="preserve"> </w:t>
      </w:r>
      <w:r>
        <w:rPr>
          <w:rStyle w:val="VerbatimChar"/>
        </w:rPr>
        <w:t xml:space="preserve">10_A3_methodological_figs.R</w:t>
      </w:r>
      <w:r>
        <w:t xml:space="preserve">, the harmonised input file (SHA-256</w:t>
      </w:r>
      <w:r>
        <w:t xml:space="preserve"> </w:t>
      </w:r>
      <w:r>
        <w:rPr>
          <w:rStyle w:val="VerbatimChar"/>
        </w:rPr>
        <w:t xml:space="preserve">2829cd78…9704a117</w:t>
      </w:r>
      <w:r>
        <w:t xml:space="preserve">), and all outputs are deposited at Zenodo (concept DOI 10.5281/zenodo.19743544) and on GitHub (</w:t>
      </w:r>
      <w:r>
        <w:rPr>
          <w:rStyle w:val="VerbatimChar"/>
        </w:rPr>
        <w:t xml:space="preserve">sv8wmxnbp8-hash/EPP10</w:t>
      </w:r>
      <w:r>
        <w:t xml:space="preserve"> </w:t>
      </w:r>
      <w:r>
        <w:t xml:space="preserve">v1·4) under CC-BY 4·0. Pre-registration: OSF DOI 10.17605/OSF.IO/3CZRE (frozen 2026-04-22). The acquisition protocol that prospective validation studies should follow is released as Supplementary S2.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Robert Wagner (Tübingen) — pathophysiology-based subphenotyping; Kirstine N. Bojsen-Møller (Hvidovre) — post-bariatric metabolism; Juan P. Frías (Velocity Clinical Research) — incretin-based pharmacology; Francesco Rubino (King’s College London) — metabolic surgery; David E. Cummings (University of Washington) — bariatric mechanism.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None; no industry support, no funding.</w:t>
      </w:r>
    </w:p>
    <w:p>
      <w:pPr>
        <w:pStyle w:val="BodyText"/>
      </w:pPr>
      <w:r>
        <w:rPr>
          <w:b/>
          <w:bCs/>
        </w:rPr>
        <w:t xml:space="preserve">Prior publication.</w:t>
      </w:r>
      <w:r>
        <w:t xml:space="preserve"> </w:t>
      </w:r>
      <w:r>
        <w:t xml:space="preserve">No part of this work has been published or is under consideration elsewhere. The empirical corpus is shared with companion submissions A1 and A2; primary findings do not overlap.</w:t>
      </w:r>
    </w:p>
    <w:p>
      <w:pPr>
        <w:pStyle w:val="BodyText"/>
      </w:pPr>
      <w:r>
        <w:t xml:space="preserve">I look forward to the editors’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Dr. Héctor M. Virgen-Ayala, MD PhD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2026-05-10T01:20:27Z</dcterms:created>
  <dcterms:modified xsi:type="dcterms:W3CDTF">2026-05-10T01:20:27Z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