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Methodological and translational foundations of the FDEP-TP framework: PACE-mFPCA pipeline, PTP/IEP classification, and clinical implications across obesity, type 2 diabetes, and metabolic surgery</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Data-driven taxonomies of metabolic disease classify individuals using static cross-sectional variables and do not generate clinically actionable algorithms keyed to multi-hormonal periprandial dynamics. We aimed to formalise a Periprandial Type Profile (PTP) and Integrated Enteropancreatic Pattern (IEP) classification, operationalise it with a reproducible 16-script analytic pipeline, and propose a hypothesis-generating clinical-decision algorithm for agonist selection and metabolic-surgery indication.</w:t>
      </w:r>
    </w:p>
    <w:p>
      <w:pPr>
        <w:pStyle w:val="BodyText"/>
      </w:pPr>
      <w:r>
        <w:rPr>
          <w:b/>
          <w:bCs/>
        </w:rPr>
        <w:t xml:space="preserve">Methods.</w:t>
      </w:r>
      <w:r>
        <w:t xml:space="preserve"> </w:t>
      </w:r>
      <w:r>
        <w:t xml:space="preserve">Pre-registered ecological proof-of-concept analysis at the cohort-time-arm level (OSF DOI 10.17605/OSF.IO/3CZRE; v10·0 protocol frozen 2026-04-22). Twenty-three source studies contributed 71 (Author × Cohort) tuples and 55 cohort-time-arms across seven cohorts and 11 analyte forms (</w:t>
      </w:r>
      <w:r>
        <w:rPr>
          <w:rStyle w:val="VerbatimChar"/>
        </w:rPr>
        <w:t xml:space="preserve">master_table.csv</w:t>
      </w:r>
      <w:r>
        <w:t xml:space="preserve"> </w:t>
      </w:r>
      <w:r>
        <w:t xml:space="preserve">SHA-256</w:t>
      </w:r>
      <w:r>
        <w:t xml:space="preserve"> </w:t>
      </w:r>
      <w:r>
        <w:rPr>
          <w:rStyle w:val="VerbatimChar"/>
        </w:rPr>
        <w:t xml:space="preserve">2829cd78…9704a117</w:t>
      </w:r>
      <w:r>
        <w:t xml:space="preserve">). The PTP layer assigns one of nine per-analyte labels by reference-distribution standardisation; an eight-rule precedence hierarchy aggregates per-analyte labels into Integrated Types I, II, III, IV, V with optional .i/.ii subtypes and a/b/c glycaemic-context suffixes. Statistical inference (Pillai trace, FANOVA permutation, simultaneous bootstrap bands, four pre-specified sensitivities) is described in companion paper A2.</w:t>
      </w:r>
    </w:p>
    <w:p>
      <w:pPr>
        <w:pStyle w:val="BodyText"/>
      </w:pPr>
      <w:r>
        <w:rPr>
          <w:b/>
          <w:bCs/>
        </w:rPr>
        <w:t xml:space="preserve">Findings.</w:t>
      </w:r>
      <w:r>
        <w:t xml:space="preserve"> </w:t>
      </w:r>
      <w:r>
        <w:t xml:space="preserve">Three signatures emerged from 2,750 pseudo-subjects. Type V (enhanced–mixed) was bariatric-dominant rather than RYGBP-exclusive — 43·3 % of RYGBP and 30·7 % of SG, both Bonferroni-adjusted permutation q=0·035. Type III (infra-physiological) dominated obesity+T2DM (40·0 %, q=0·035) and post-caloric-restriction (36·8 %, q=0·035). Type I·I (preserved) was modal in the non-obese-without-T2D reference cohort (32·2 %), with 23·1 % not-classifiable arising from single-analyte source arms. PTP per-analyte distribution across 8,050 classifications was 67·1 % Preserved, 8·6 % Borderline Impaired, 5·8 % Borderline Altered, 3·7 % Altered, 2·2 % Impaired; threshold sensitivity reassigned ≤ 6·8 % of labels.</w:t>
      </w:r>
    </w:p>
    <w:p>
      <w:pPr>
        <w:pStyle w:val="BodyText"/>
      </w:pPr>
      <w:r>
        <w:rPr>
          <w:b/>
          <w:bCs/>
        </w:rPr>
        <w:t xml:space="preserve">Interpretation.</w:t>
      </w:r>
      <w:r>
        <w:t xml:space="preserve"> </w:t>
      </w:r>
      <w:r>
        <w:t xml:space="preserve">The PTP/IEP framework provides an interpretable layer between the joint mFPC eigenstructure and clinical decision support. The proposed algorithm is hypothesis-generating: percentile thresholds and Type assignments were derived from cohort-level aggregate data and require prospective individual-participant validation under TRIPOD+AI before clinical translation.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“data-driven phenotyping”</w:t>
      </w:r>
      <w:r>
        <w:t xml:space="preserve">,</w:t>
      </w:r>
      <w:r>
        <w:t xml:space="preserve"> </w:t>
      </w:r>
      <w:r>
        <w:t xml:space="preserve">“incretin”</w:t>
      </w:r>
      <w:r>
        <w:t xml:space="preserve">,</w:t>
      </w:r>
      <w:r>
        <w:t xml:space="preserve"> </w:t>
      </w:r>
      <w:r>
        <w:t xml:space="preserve">“GLP-1”</w:t>
      </w:r>
      <w:r>
        <w:t xml:space="preserve">,</w:t>
      </w:r>
      <w:r>
        <w:t xml:space="preserve"> </w:t>
      </w:r>
      <w:r>
        <w:t xml:space="preserve">“PYY”</w:t>
      </w:r>
      <w:r>
        <w:t xml:space="preserve">,</w:t>
      </w:r>
      <w:r>
        <w:t xml:space="preserve"> </w:t>
      </w:r>
      <w:r>
        <w:t xml:space="preserve">“ghrelin”</w:t>
      </w:r>
      <w:r>
        <w:t xml:space="preserve">,</w:t>
      </w:r>
      <w:r>
        <w:t xml:space="preserve"> </w:t>
      </w:r>
      <w:r>
        <w:t xml:space="preserve">“periprandial classification”</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“tirzepatide”</w:t>
      </w:r>
      <w:r>
        <w:t xml:space="preserve">,</w:t>
      </w:r>
      <w:r>
        <w:t xml:space="preserve"> </w:t>
      </w:r>
      <w:r>
        <w:t xml:space="preserve">“retatrutide”</w:t>
      </w:r>
      <w:r>
        <w:t xml:space="preserve">) and validation against three landmark reviews returned no integrated multi-hormonal classification framework. The Ahlqvist five-cluster taxonomy</w:t>
      </w:r>
      <w:r>
        <w:rPr>
          <w:vertAlign w:val="superscript"/>
        </w:rPr>
        <w:t xml:space="preserve">1</w:t>
      </w:r>
      <w:r>
        <w:t xml:space="preserve">, the Udler genetically-informed soft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variables. Bariatric mechanism reviews</w:t>
      </w:r>
      <w:r>
        <w:rPr>
          <w:vertAlign w:val="superscript"/>
        </w:rPr>
        <w:t xml:space="preserve">4,5,</w:t>
      </w:r>
      <w:r>
        <w:rPr>
          <w:b/>
          <w:bCs/>
          <w:vertAlign w:val="superscript"/>
        </w:rPr>
        <w:t xml:space="preserve">Lobato2025?</w:t>
      </w:r>
      <w:r>
        <w:t xml:space="preserve"> </w:t>
      </w:r>
      <w:r>
        <w:t xml:space="preserve">articulate the post-bariatric phenotype qualitatively without an operational classifier. Pharmacological cohorts of single-receptor</w:t>
      </w:r>
      <w:r>
        <w:rPr>
          <w:vertAlign w:val="superscript"/>
        </w:rPr>
        <w:t xml:space="preserve">6</w:t>
      </w:r>
      <w:r>
        <w:t xml:space="preserve">, dual-receptor</w:t>
      </w:r>
      <w:r>
        <w:rPr>
          <w:vertAlign w:val="superscript"/>
        </w:rPr>
        <w:t xml:space="preserve">7</w:t>
      </w:r>
      <w:r>
        <w:t xml:space="preserve">, and triple-receptor</w:t>
      </w:r>
      <w:r>
        <w:rPr>
          <w:vertAlign w:val="superscript"/>
        </w:rPr>
        <w:t xml:space="preserve">8</w:t>
      </w:r>
      <w:r>
        <w:t xml:space="preserve"> </w:t>
      </w:r>
      <w:r>
        <w:t xml:space="preserve">agonists report metabolic outcomes without keyed selection criteria.</w:t>
      </w:r>
    </w:p>
    <w:p>
      <w:pPr>
        <w:pStyle w:val="BodyText"/>
      </w:pPr>
      <w:r>
        <w:rPr>
          <w:b/>
          <w:bCs/>
        </w:rPr>
        <w:t xml:space="preserve">Added value of this study.</w:t>
      </w:r>
      <w:r>
        <w:t xml:space="preserve"> </w:t>
      </w:r>
      <w:r>
        <w:t xml:space="preserve">We report the first PTP/IEP classification framework with explicit eight-rule precedence and three-suffix glycaemic context, operationalised by a sixteen-script reproducible pipeline. Three findings follow. First, the Type V (enhanced–mixed) signature is</w:t>
      </w:r>
      <w:r>
        <w:t xml:space="preserve"> </w:t>
      </w:r>
      <w:r>
        <w:rPr>
          <w:b/>
          <w:bCs/>
        </w:rPr>
        <w:t xml:space="preserve">bariatric-dominant rather than RYGBP-exclusive</w:t>
      </w:r>
      <w:r>
        <w:t xml:space="preserve"> </w:t>
      </w:r>
      <w:r>
        <w:t xml:space="preserve">— both RYGBP (43·3 %) and SG (30·7 %) reach Bonferroni-adjusted q=0·035, distinguishing the bariatric phenotype from disease and reference cohorts on a continuous Type axis. Second, Type III (infra-physiological) dominates obesity+T2DM (40·0 %) and post-caloric-restriction (36·8 %), reframing partial glycaemic remission as</w:t>
      </w:r>
      <w:r>
        <w:t xml:space="preserve"> </w:t>
      </w:r>
      <w:r>
        <w:rPr>
          <w:b/>
          <w:bCs/>
        </w:rPr>
        <w:t xml:space="preserve">persistent infra-physiological signalling</w:t>
      </w:r>
      <w:r>
        <w:t xml:space="preserve"> </w:t>
      </w:r>
      <w:r>
        <w:t xml:space="preserve">rather than uniform return to the reference distribution. Third, the framework articulates a clinical-decision algorithm — single-, dual-, and triple-receptor agonists, plus metabolic-surgery indication — keyed on Integrated Type and glycaemic suffix.</w:t>
      </w:r>
    </w:p>
    <w:p>
      <w:pPr>
        <w:pStyle w:val="BodyText"/>
      </w:pPr>
      <w:r>
        <w:rPr>
          <w:b/>
          <w:bCs/>
        </w:rPr>
        <w:t xml:space="preserve">Implications of all the available evidence.</w:t>
      </w:r>
      <w:r>
        <w:t xml:space="preserve"> </w:t>
      </w:r>
      <w:r>
        <w:t xml:space="preserve">Integrated multi-hormonal periprandial phenotyping makes agonist selection and metabolic-surgery indication tractable as algorithmic decisions. The framework is hypothesis-generating: percentile thresholds derived from cohort-level aggregate data require prospective TRIPOD+AI validation</w:t>
      </w:r>
      <w:r>
        <w:rPr>
          <w:vertAlign w:val="superscript"/>
        </w:rPr>
        <w:t xml:space="preserve">9</w:t>
      </w:r>
      <w:r>
        <w:t xml:space="preserve"> </w:t>
      </w:r>
      <w:r>
        <w:t xml:space="preserve">before clinical use. The 16-script pipeline, the PTP/IEP rule set, the operational acquisition protocol (Supplementary S2), and all outputs are released under CC-BY 4·0 to support that validation effort.</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The clinical translational gap on the entero-pancreatic axis is operational, not descriptive. Heterogeneity of postprandial enteropancreatic responses across health, obesity, type 2 diabetes (T2DM), caloric restriction, and metabolic surgery is well documented</w:t>
      </w:r>
      <w:r>
        <w:rPr>
          <w:vertAlign w:val="superscript"/>
        </w:rPr>
        <w:t xml:space="preserve">4,</w:t>
      </w:r>
      <w:r>
        <w:rPr>
          <w:b/>
          <w:bCs/>
          <w:vertAlign w:val="superscript"/>
        </w:rPr>
        <w:t xml:space="preserve">Drucker2018?</w:t>
      </w:r>
      <w:r>
        <w:rPr>
          <w:vertAlign w:val="superscript"/>
        </w:rPr>
        <w:t xml:space="preserve">,</w:t>
      </w:r>
      <w:r>
        <w:rPr>
          <w:b/>
          <w:bCs/>
          <w:vertAlign w:val="superscript"/>
        </w:rPr>
        <w:t xml:space="preserve">Holst2007?</w:t>
      </w:r>
      <w:r>
        <w:rPr>
          <w:vertAlign w:val="superscript"/>
        </w:rPr>
        <w:t xml:space="preserve">,</w:t>
      </w:r>
      <w:r>
        <w:rPr>
          <w:b/>
          <w:bCs/>
          <w:vertAlign w:val="superscript"/>
        </w:rPr>
        <w:t xml:space="preserve">Steinert2017?</w:t>
      </w:r>
      <w:r>
        <w:t xml:space="preserve">. Bariatric procedures elevate post-prandial GLP-1 and PYY and depress fasting ghrelin to a degree that exceeds the pharmacological GLP-1 receptor agonist response</w:t>
      </w:r>
      <w:r>
        <w:rPr>
          <w:vertAlign w:val="superscript"/>
        </w:rPr>
        <w:t xml:space="preserve">4,</w:t>
      </w:r>
      <w:r>
        <w:rPr>
          <w:b/>
          <w:bCs/>
          <w:vertAlign w:val="superscript"/>
        </w:rPr>
        <w:t xml:space="preserve">LeRoux2006?</w:t>
      </w:r>
      <w:r>
        <w:rPr>
          <w:vertAlign w:val="superscript"/>
        </w:rPr>
        <w:t xml:space="preserve">,</w:t>
      </w:r>
      <w:r>
        <w:rPr>
          <w:b/>
          <w:bCs/>
          <w:vertAlign w:val="superscript"/>
        </w:rPr>
        <w:t xml:space="preserve">Svane2019?</w:t>
      </w:r>
      <w:r>
        <w:t xml:space="preserve">. Caloric restriction restores glycaemic indices without restoring incretin amplitudes</w:t>
      </w:r>
      <w:r>
        <w:rPr>
          <w:b/>
          <w:bCs/>
          <w:vertAlign w:val="superscript"/>
        </w:rPr>
        <w:t xml:space="preserve">Salehi2014?</w:t>
      </w:r>
      <w:r>
        <w:t xml:space="preserve">. Yet existing data-driven taxonomies — Ahlqvist five-cluster</w:t>
      </w:r>
      <w:r>
        <w:rPr>
          <w:vertAlign w:val="superscript"/>
        </w:rPr>
        <w:t xml:space="preserve">1</w:t>
      </w:r>
      <w:r>
        <w:t xml:space="preserve">, Udler soft-genetic</w:t>
      </w:r>
      <w:r>
        <w:rPr>
          <w:vertAlign w:val="superscript"/>
        </w:rPr>
        <w:t xml:space="preserve">2</w:t>
      </w:r>
      <w:r>
        <w:t xml:space="preserve">, Tübingen prediabetes subphenotypes</w:t>
      </w:r>
      <w:r>
        <w:rPr>
          <w:vertAlign w:val="superscript"/>
        </w:rPr>
        <w:t xml:space="preserve">3</w:t>
      </w:r>
      <w:r>
        <w:t xml:space="preserve">, second international consensus on precision diabetes medicine — decompose static cross-sectional features and do not generate clinically actionable algorithms keyed to multi-hormonal periprandial dynamics.</w:t>
      </w:r>
    </w:p>
    <w:p>
      <w:pPr>
        <w:pStyle w:val="BodyText"/>
      </w:pPr>
      <w:r>
        <w:t xml:space="preserve">The present article closes this gap by formalising the Periprandial Type Profile (PTP) and Integrated Enteropancreatic Pattern (IEP) classification hierarchy and operationalising it with a reproducible analytic pipeline. The PTP layer assigns one of nine per-analyte labels (Preserved, Borderline Impaired, Impaired, Blunted, Borderline Altered, Altered, Recovered, Borderline Enhanced, Enhanced) by componentwise comparison to a reference-distribution standardisation</w:t>
      </w:r>
      <w:r>
        <w:rPr>
          <w:vertAlign w:val="superscript"/>
        </w:rPr>
        <w:t xml:space="preserve">10,</w:t>
      </w:r>
      <w:r>
        <w:rPr>
          <w:b/>
          <w:bCs/>
          <w:vertAlign w:val="superscript"/>
        </w:rPr>
        <w:t xml:space="preserve">ChiouChenYang2014?</w:t>
      </w:r>
      <w:r>
        <w:t xml:space="preserve">. An eight-rule precedence hierarchy aggregates per-analyte labels into Integrated Types I, II, III, IV, V with optional .i/.ii subtypes and a/b/c glycaemic-context suffixes anchored on the simultaneous glucose trajectory. The mathematical and statistical machinery is described in companion paper A2; the physiological reading of the four leading multivariate functional principal component eigenfunctions is described in companion paper A1.</w:t>
      </w:r>
    </w:p>
    <w:p>
      <w:pPr>
        <w:pStyle w:val="BodyText"/>
      </w:pPr>
      <w:r>
        <w:t xml:space="preserve">Our objectives in the present article were: (i) to specify the PTP nine-label vocabulary and the eight-rule IEP precedence hierarchy operationally; (ii) to document the sixteen-script analytic pipeline that implements the framework; (iii) to characterise the cohort-level distribution of PTP labels and IEP Types across seven canonical cohorts; and (iv) to articulate a hypothesis-generating clinical-decision algorithm keyed on Type and glycaemic suffix, including the</w:t>
      </w:r>
      <w:r>
        <w:t xml:space="preserve"> </w:t>
      </w:r>
      <w:r>
        <w:t xml:space="preserve">“Tipo VI”</w:t>
      </w:r>
      <w:r>
        <w:t xml:space="preserve"> </w:t>
      </w:r>
      <w:r>
        <w:t xml:space="preserve">extension for triple-receptor agonists</w:t>
      </w:r>
      <w:r>
        <w:rPr>
          <w:vertAlign w:val="superscript"/>
        </w:rPr>
        <w:t xml:space="preserve">8</w:t>
      </w:r>
      <w:r>
        <w:t xml:space="preserve">.</w:t>
      </w:r>
    </w:p>
    <w:p>
      <w:r>
        <w:pict>
          <v:rect style="width:0;height:1.5pt" o:hralign="center" o:hrstd="t" o:hr="t"/>
        </w:pict>
      </w:r>
    </w:p>
    <w:bookmarkEnd w:id="11"/>
    <w:bookmarkStart w:id="22"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The present article reports the procedural and translational layer of a pre-registered ecological proof-of-concept analysis at the cohort-time-arm level (OSF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b/>
          <w:bCs/>
          <w:vertAlign w:val="superscript"/>
        </w:rPr>
        <w:t xml:space="preserve">Rohatgi2022WPD?</w:t>
      </w:r>
      <w:r>
        <w:t xml:space="preserve">, 23 source studies yielded 71 (Author × Cohort) tuples and 55 productive cohort-time-arms across seven canonical cohorts: non-obese without T2D (reference), obesity, T2DM, obesity with T2DM, caloric restriction (Post-CR),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b/>
          <w:bCs/>
          <w:vertAlign w:val="superscript"/>
        </w:rPr>
        <w:t xml:space="preserve">Papadimitropoulou2020?</w:t>
      </w:r>
      <w:r>
        <w:t xml:space="preserve">. The marginal mean of the GP is the digitised arm-mean trajectory µ_h(t) extracted from each source study.</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The time grid was {0, 15, 30, 60, 90, 120, 130, 150, 180} min, owing to mixed protocols.</w:t>
      </w:r>
      <w:r>
        <w:t xml:space="preserve"> </w:t>
      </w:r>
      <w:r>
        <w:rPr>
          <w:b/>
          <w:bCs/>
        </w:rPr>
        <w:t xml:space="preserve">Eleven analyte forms</w:t>
      </w:r>
      <w:r>
        <w:t xml:space="preserve"> </w:t>
      </w:r>
      <w:r>
        <w:t xml:space="preserve">entered the per-analyte PTP layer (GLP-1 active and total, GIP active and total, PYY total and 3-36, ghrelin total and acyl, glucagon, insulin, glucose); the joint Happ–Greven operator was restricted to</w:t>
      </w:r>
      <w:r>
        <w:t xml:space="preserve"> </w:t>
      </w:r>
      <w:r>
        <w:rPr>
          <w:b/>
          <w:bCs/>
        </w:rPr>
        <w:t xml:space="preserve">nine analyte forms</w:t>
      </w:r>
      <w:r>
        <w:t xml:space="preserve"> </w:t>
      </w:r>
      <w:r>
        <w:t xml:space="preserve">— glucose and insulin functioned as glycaemic-regulator and pancreatic-effector inputs at the per-analyte layer but did not enter the joint operator owing to the Chiou normalisation requirement of homogeneous integrated variance per block</w:t>
      </w:r>
      <w:r>
        <w:rPr>
          <w:b/>
          <w:bCs/>
          <w:vertAlign w:val="superscript"/>
        </w:rPr>
        <w:t xml:space="preserve">ChiouChenYang2014?</w:t>
      </w:r>
      <w:r>
        <w:t xml:space="preserve">. Reference adequacy (n_ref ≥ 8 per analyte in the non-obese without T2D cohort) was complete for every panel hormone (Table 1). Display item DI1 renders the acquisition protocol and panel composition.</w:t>
      </w:r>
    </w:p>
    <w:bookmarkEnd w:id="13"/>
    <w:bookmarkStart w:id="14" w:name="Xce8e53c862fce594a58de3b97efa36d8220b687"/>
    <w:p>
      <w:pPr>
        <w:pStyle w:val="Heading2"/>
      </w:pPr>
      <w:r>
        <w:t xml:space="preserve">Analytic pipeline (sixteen R scripts in five layers)</w:t>
      </w:r>
    </w:p>
    <w:p>
      <w:pPr>
        <w:pStyle w:val="FirstParagraph"/>
      </w:pPr>
      <w:r>
        <w:t xml:space="preserve">The complete pipeline is rendered in display item DI2.</w:t>
      </w:r>
      <w:r>
        <w:t xml:space="preserve"> </w:t>
      </w:r>
      <w:r>
        <w:rPr>
          <w:b/>
          <w:bCs/>
        </w:rPr>
        <w:t xml:space="preserve">Layer 1 — ingest and harmonisation</w:t>
      </w:r>
      <w:r>
        <w:t xml:space="preserve">:</w:t>
      </w:r>
      <w:r>
        <w:t xml:space="preserve"> </w:t>
      </w:r>
      <w:r>
        <w:rPr>
          <w:rStyle w:val="VerbatimChar"/>
        </w:rPr>
        <w:t xml:space="preserve">00_inventory.R</w:t>
      </w:r>
      <w:r>
        <w:t xml:space="preserve">,</w:t>
      </w:r>
      <w:r>
        <w:t xml:space="preserve"> </w:t>
      </w:r>
      <w:r>
        <w:rPr>
          <w:rStyle w:val="VerbatimChar"/>
        </w:rPr>
        <w:t xml:space="preserve">parse_master_table.R</w:t>
      </w:r>
      <w:r>
        <w:t xml:space="preserve">,</w:t>
      </w:r>
      <w:r>
        <w:t xml:space="preserve"> </w:t>
      </w:r>
      <w:r>
        <w:rPr>
          <w:rStyle w:val="VerbatimChar"/>
        </w:rPr>
        <w:t xml:space="preserve">01_harmonize.R</w:t>
      </w:r>
      <w:r>
        <w:t xml:space="preserve"> </w:t>
      </w:r>
      <w:r>
        <w:t xml:space="preserve">(inventory of 23 source studies, SHA-256-anchored parsing, harmonisation of units/time grid/analyte forms).</w:t>
      </w:r>
      <w:r>
        <w:t xml:space="preserve"> </w:t>
      </w:r>
      <w:r>
        <w:rPr>
          <w:b/>
          <w:bCs/>
        </w:rPr>
        <w:t xml:space="preserve">Layer 2 — pseudo-IPD generation</w:t>
      </w:r>
      <w:r>
        <w:t xml:space="preserve">: AR(1) Gaussian-process draw within</w:t>
      </w:r>
      <w:r>
        <w:t xml:space="preserve"> </w:t>
      </w:r>
      <w:r>
        <w:rPr>
          <w:rStyle w:val="VerbatimChar"/>
        </w:rPr>
        <w:t xml:space="preserve">01_harmonize.R</w:t>
      </w:r>
      <w:r>
        <w:t xml:space="preserve"> </w:t>
      </w:r>
      <w:r>
        <w:t xml:space="preserve">(B=50 pipeline-stage bootstrap; B=300 extended Zenodo bootstrap).</w:t>
      </w:r>
      <w:r>
        <w:t xml:space="preserve"> </w:t>
      </w:r>
      <w:r>
        <w:rPr>
          <w:b/>
          <w:bCs/>
        </w:rPr>
        <w:t xml:space="preserve">Layer 3 — estimation</w:t>
      </w:r>
      <w:r>
        <w:t xml:space="preserve">:</w:t>
      </w:r>
      <w:r>
        <w:t xml:space="preserve"> </w:t>
      </w:r>
      <w:r>
        <w:rPr>
          <w:rStyle w:val="VerbatimChar"/>
        </w:rPr>
        <w:t xml:space="preserve">02_fpca_pace.R</w:t>
      </w:r>
      <w:r>
        <w:t xml:space="preserve"> </w:t>
      </w:r>
      <w:r>
        <w:t xml:space="preserve">(univariate FACEs primary; PACE as pre-specified sensitivity),</w:t>
      </w:r>
      <w:r>
        <w:t xml:space="preserve"> </w:t>
      </w:r>
      <w:r>
        <w:rPr>
          <w:rStyle w:val="VerbatimChar"/>
        </w:rPr>
        <w:t xml:space="preserve">03_mfpca_happgreven.R</w:t>
      </w:r>
      <w:r>
        <w:t xml:space="preserve"> </w:t>
      </w:r>
      <w:r>
        <w:t xml:space="preserve">(joint Happ–Greven operator with Chiou normalisation),</w:t>
      </w:r>
      <w:r>
        <w:t xml:space="preserve"> </w:t>
      </w:r>
      <w:r>
        <w:rPr>
          <w:rStyle w:val="VerbatimChar"/>
        </w:rPr>
        <w:t xml:space="preserve">04b_srsf_registration.R</w:t>
      </w:r>
      <w:r>
        <w:t xml:space="preserve"> </w:t>
      </w:r>
      <w:r>
        <w:t xml:space="preserve">(SRSF phase-amplitude registration).</w:t>
      </w:r>
      <w:r>
        <w:t xml:space="preserve"> </w:t>
      </w:r>
      <w:r>
        <w:rPr>
          <w:b/>
          <w:bCs/>
        </w:rPr>
        <w:t xml:space="preserve">Layer 4 — classification</w:t>
      </w:r>
      <w:r>
        <w:t xml:space="preserve">:</w:t>
      </w:r>
      <w:r>
        <w:t xml:space="preserve"> </w:t>
      </w:r>
      <w:r>
        <w:rPr>
          <w:rStyle w:val="VerbatimChar"/>
        </w:rPr>
        <w:t xml:space="preserve">05_classify_ptp.R</w:t>
      </w:r>
      <w:r>
        <w:t xml:space="preserve"> </w:t>
      </w:r>
      <w:r>
        <w:t xml:space="preserve">(PTP nine-label) and</w:t>
      </w:r>
      <w:r>
        <w:t xml:space="preserve"> </w:t>
      </w:r>
      <w:r>
        <w:rPr>
          <w:rStyle w:val="VerbatimChar"/>
        </w:rPr>
        <w:t xml:space="preserve">05b_iep_perm.R</w:t>
      </w:r>
      <w:r>
        <w:t xml:space="preserve"> </w:t>
      </w:r>
      <w:r>
        <w:t xml:space="preserve">(Integrated Type with Bonferroni-adjusted permutation q-values).</w:t>
      </w:r>
      <w:r>
        <w:t xml:space="preserve"> </w:t>
      </w:r>
      <w:r>
        <w:rPr>
          <w:b/>
          <w:bCs/>
        </w:rPr>
        <w:t xml:space="preserve">Layer 5 — inference, sensitivity, figures</w:t>
      </w:r>
      <w:r>
        <w:t xml:space="preserve">:</w:t>
      </w:r>
      <w:r>
        <w:t xml:space="preserve"> </w:t>
      </w:r>
      <w:r>
        <w:rPr>
          <w:rStyle w:val="VerbatimChar"/>
        </w:rPr>
        <w:t xml:space="preserve">06_inference.R</w:t>
      </w:r>
      <w:r>
        <w:t xml:space="preserve">,</w:t>
      </w:r>
      <w:r>
        <w:t xml:space="preserve"> </w:t>
      </w:r>
      <w:r>
        <w:rPr>
          <w:rStyle w:val="VerbatimChar"/>
        </w:rPr>
        <w:t xml:space="preserve">06_lme4_scores.R</w:t>
      </w:r>
      <w:r>
        <w:t xml:space="preserve">,</w:t>
      </w:r>
      <w:r>
        <w:t xml:space="preserve"> </w:t>
      </w:r>
      <w:r>
        <w:rPr>
          <w:rStyle w:val="VerbatimChar"/>
        </w:rPr>
        <w:t xml:space="preserve">06b_mahalanobis.R</w:t>
      </w:r>
      <w:r>
        <w:t xml:space="preserve">,</w:t>
      </w:r>
      <w:r>
        <w:t xml:space="preserve"> </w:t>
      </w:r>
      <w:r>
        <w:rPr>
          <w:rStyle w:val="VerbatimChar"/>
        </w:rPr>
        <w:t xml:space="preserve">07_bootstrap.R</w:t>
      </w:r>
      <w:r>
        <w:t xml:space="preserve">,</w:t>
      </w:r>
      <w:r>
        <w:t xml:space="preserve"> </w:t>
      </w:r>
      <w:r>
        <w:rPr>
          <w:rStyle w:val="VerbatimChar"/>
        </w:rPr>
        <w:t xml:space="preserve">08_figures.R</w:t>
      </w:r>
      <w:r>
        <w:t xml:space="preserve">,</w:t>
      </w:r>
      <w:r>
        <w:t xml:space="preserve"> </w:t>
      </w:r>
      <w:r>
        <w:rPr>
          <w:rStyle w:val="VerbatimChar"/>
        </w:rPr>
        <w:t xml:space="preserve">08b_lancet_figs.R</w:t>
      </w:r>
      <w:r>
        <w:t xml:space="preserve">,</w:t>
      </w:r>
      <w:r>
        <w:t xml:space="preserve"> </w:t>
      </w:r>
      <w:r>
        <w:rPr>
          <w:rStyle w:val="VerbatimChar"/>
        </w:rPr>
        <w:t xml:space="preserve">09_sensitivity.R</w:t>
      </w:r>
      <w:r>
        <w:t xml:space="preserve">, and the A3-specific</w:t>
      </w:r>
      <w:r>
        <w:t xml:space="preserve"> </w:t>
      </w:r>
      <w:r>
        <w:rPr>
          <w:rStyle w:val="VerbatimChar"/>
        </w:rPr>
        <w:t xml:space="preserve">10_A3_methodological_figs.R</w:t>
      </w:r>
      <w:r>
        <w:t xml:space="preserve">.</w:t>
      </w:r>
    </w:p>
    <w:bookmarkEnd w:id="14"/>
    <w:bookmarkStart w:id="18" w:name="ptp-and-iep-classification"/>
    <w:p>
      <w:pPr>
        <w:pStyle w:val="Heading2"/>
      </w:pPr>
      <w:r>
        <w:t xml:space="preserve">PTP and IEP classification</w:t>
      </w:r>
    </w:p>
    <w:bookmarkStart w:id="15" w:name="ptp-per-analyte-vocabulary-nine-labels"/>
    <w:p>
      <w:pPr>
        <w:pStyle w:val="Heading3"/>
      </w:pPr>
      <w:r>
        <w:t xml:space="preserve">PTP per-analyte vocabulary (nine labels)</w:t>
      </w:r>
    </w:p>
    <w:p>
      <w:pPr>
        <w:pStyle w:val="FirstParagraph"/>
      </w:pPr>
      <w:r>
        <w:t xml:space="preserve">Each per-analyte trajectory is mapped to a single PTP label by componentwise comparison of the BLUP score vector ξ̂_j against percentiles standardised on the non-obese-without-T2D cohort.</w:t>
      </w:r>
      <w:r>
        <w:t xml:space="preserve"> </w:t>
      </w:r>
      <w:r>
        <w:rPr>
          <w:b/>
          <w:bCs/>
        </w:rPr>
        <w:t xml:space="preserve">Preserved</w:t>
      </w:r>
      <w:r>
        <w:t xml:space="preserve"> </w:t>
      </w:r>
      <w:r>
        <w:t xml:space="preserve">is within ±1 SD of the reference centroid on every retained component.</w:t>
      </w:r>
      <w:r>
        <w:t xml:space="preserve"> </w:t>
      </w:r>
      <w:r>
        <w:rPr>
          <w:b/>
          <w:bCs/>
        </w:rPr>
        <w:t xml:space="preserve">Borderline Impaired</w:t>
      </w:r>
      <w:r>
        <w:t xml:space="preserve"> </w:t>
      </w:r>
      <w:r>
        <w:t xml:space="preserve">/</w:t>
      </w:r>
      <w:r>
        <w:t xml:space="preserve"> </w:t>
      </w:r>
      <w:r>
        <w:rPr>
          <w:b/>
          <w:bCs/>
        </w:rPr>
        <w:t xml:space="preserve">Impaired</w:t>
      </w:r>
      <w:r>
        <w:t xml:space="preserve"> </w:t>
      </w:r>
      <w:r>
        <w:t xml:space="preserve">denote graded amplitude reduction on the leading component (≥ 1 SD or ≥ 2 SD below reference, morphology preserved).</w:t>
      </w:r>
      <w:r>
        <w:t xml:space="preserve"> </w:t>
      </w:r>
      <w:r>
        <w:rPr>
          <w:b/>
          <w:bCs/>
        </w:rPr>
        <w:t xml:space="preserve">Blunted</w:t>
      </w:r>
      <w:r>
        <w:t xml:space="preserve"> </w:t>
      </w:r>
      <w:r>
        <w:t xml:space="preserve">is the conjunctive criterion of reduced amplitude</w:t>
      </w:r>
      <w:r>
        <w:t xml:space="preserve"> </w:t>
      </w:r>
      <w:r>
        <w:rPr>
          <w:b/>
          <w:bCs/>
        </w:rPr>
        <w:t xml:space="preserve">and</w:t>
      </w:r>
      <w:r>
        <w:t xml:space="preserve"> </w:t>
      </w:r>
      <w:r>
        <w:t xml:space="preserve">flattened morphology.</w:t>
      </w:r>
      <w:r>
        <w:t xml:space="preserve"> </w:t>
      </w:r>
      <w:r>
        <w:rPr>
          <w:b/>
          <w:bCs/>
        </w:rPr>
        <w:t xml:space="preserve">Borderline Altered</w:t>
      </w:r>
      <w:r>
        <w:t xml:space="preserve"> </w:t>
      </w:r>
      <w:r>
        <w:t xml:space="preserve">/</w:t>
      </w:r>
      <w:r>
        <w:t xml:space="preserve"> </w:t>
      </w:r>
      <w:r>
        <w:rPr>
          <w:b/>
          <w:bCs/>
        </w:rPr>
        <w:t xml:space="preserve">Altered</w:t>
      </w:r>
      <w:r>
        <w:t xml:space="preserve"> </w:t>
      </w:r>
      <w:r>
        <w:t xml:space="preserve">denote graded morphological deviation off the leading-component subspace (rotation in eigenfunction space).</w:t>
      </w:r>
      <w:r>
        <w:t xml:space="preserve"> </w:t>
      </w:r>
      <w:r>
        <w:rPr>
          <w:b/>
          <w:bCs/>
        </w:rPr>
        <w:t xml:space="preserve">Recovered</w:t>
      </w:r>
      <w:r>
        <w:t xml:space="preserve"> </w:t>
      </w:r>
      <w:r>
        <w:t xml:space="preserve">denotes return to the reference cone after a documented intervention.</w:t>
      </w:r>
      <w:r>
        <w:t xml:space="preserve"> </w:t>
      </w:r>
      <w:r>
        <w:rPr>
          <w:b/>
          <w:bCs/>
        </w:rPr>
        <w:t xml:space="preserve">Borderline Enhanced</w:t>
      </w:r>
      <w:r>
        <w:t xml:space="preserve"> </w:t>
      </w:r>
      <w:r>
        <w:t xml:space="preserve">/</w:t>
      </w:r>
      <w:r>
        <w:t xml:space="preserve"> </w:t>
      </w:r>
      <w:r>
        <w:rPr>
          <w:b/>
          <w:bCs/>
        </w:rPr>
        <w:t xml:space="preserve">Enhanced</w:t>
      </w:r>
      <w:r>
        <w:t xml:space="preserve"> </w:t>
      </w:r>
      <w:r>
        <w:t xml:space="preserve">denote graded amplitude elevation (≥ 1 SD or ≥ 2 SD above reference). Two</w:t>
      </w:r>
      <w:r>
        <w:t xml:space="preserve"> </w:t>
      </w:r>
      <w:r>
        <w:rPr>
          <w:b/>
          <w:bCs/>
        </w:rPr>
        <w:t xml:space="preserve">Discordant</w:t>
      </w:r>
      <w:r>
        <w:t xml:space="preserve"> </w:t>
      </w:r>
      <w:r>
        <w:t xml:space="preserve">flags (Discordant_High, Discordant_Low) mark off-baseline fasting trajectories and block Type I/II assignment. Glucose suffixes distinguish three glycaemic contexts (a: glucose Preserved; b: glucose elevated post-prandially; c: glucose Altered or Discordant_High at baseline).</w:t>
      </w:r>
    </w:p>
    <w:bookmarkEnd w:id="15"/>
    <w:bookmarkStart w:id="16" w:name="X11545c55223e6971ed6ef924db9cc478f5a30b4"/>
    <w:p>
      <w:pPr>
        <w:pStyle w:val="Heading3"/>
      </w:pPr>
      <w:r>
        <w:t xml:space="preserve">Eight-rule precedence hierarchy for Integrated Types</w:t>
      </w:r>
    </w:p>
    <w:p>
      <w:pPr>
        <w:pStyle w:val="FirstParagraph"/>
      </w:pPr>
      <w:r>
        <w:t xml:space="preserve">Per-analyte PTP labels aggregate to Integrated Type I–V according to an eight-rule precedence applied in order:</w:t>
      </w:r>
    </w:p>
    <w:p>
      <w:pPr>
        <w:pStyle w:val="Compact"/>
        <w:numPr>
          <w:ilvl w:val="0"/>
          <w:numId w:val="1001"/>
        </w:numPr>
      </w:pPr>
      <w:r>
        <w:t xml:space="preserve">any non-glucose</w:t>
      </w:r>
      <w:r>
        <w:t xml:space="preserve"> </w:t>
      </w:r>
      <w:r>
        <w:rPr>
          <w:b/>
          <w:bCs/>
        </w:rPr>
        <w:t xml:space="preserve">Altered</w:t>
      </w:r>
      <w:r>
        <w:t xml:space="preserve"> </w:t>
      </w:r>
      <w:r>
        <w:t xml:space="preserve">label →</w:t>
      </w:r>
      <w:r>
        <w:t xml:space="preserve"> </w:t>
      </w:r>
      <w:r>
        <w:rPr>
          <w:b/>
          <w:bCs/>
        </w:rPr>
        <w:t xml:space="preserve">Type IV·II</w:t>
      </w:r>
      <w:r>
        <w:t xml:space="preserve">;</w:t>
      </w:r>
    </w:p>
    <w:p>
      <w:pPr>
        <w:pStyle w:val="Compact"/>
        <w:numPr>
          <w:ilvl w:val="0"/>
          <w:numId w:val="1001"/>
        </w:numPr>
      </w:pPr>
      <w:r>
        <w:t xml:space="preserve">any non-glucose</w:t>
      </w:r>
      <w:r>
        <w:t xml:space="preserve"> </w:t>
      </w:r>
      <w:r>
        <w:rPr>
          <w:b/>
          <w:bCs/>
        </w:rPr>
        <w:t xml:space="preserve">Borderline Altered</w:t>
      </w:r>
      <w:r>
        <w:t xml:space="preserve"> </w:t>
      </w:r>
      <w:r>
        <w:t xml:space="preserve">in the absence of (1) →</w:t>
      </w:r>
      <w:r>
        <w:t xml:space="preserve"> </w:t>
      </w:r>
      <w:r>
        <w:rPr>
          <w:b/>
          <w:bCs/>
        </w:rPr>
        <w:t xml:space="preserve">Type IV·I</w:t>
      </w:r>
      <w:r>
        <w:t xml:space="preserve">;</w:t>
      </w:r>
      <w:r>
        <w:t xml:space="preserve"> </w:t>
      </w:r>
      <w:r>
        <w:t xml:space="preserve">(3a) any non-glucose</w:t>
      </w:r>
      <w:r>
        <w:t xml:space="preserve"> </w:t>
      </w:r>
      <w:r>
        <w:rPr>
          <w:b/>
          <w:bCs/>
        </w:rPr>
        <w:t xml:space="preserve">Enhanced</w:t>
      </w:r>
      <w:r>
        <w:t xml:space="preserve"> </w:t>
      </w:r>
      <w:r>
        <w:t xml:space="preserve">with glucose suffix</w:t>
      </w:r>
      <w:r>
        <w:t xml:space="preserve"> </w:t>
      </w:r>
      <w:r>
        <w:rPr>
          <w:rStyle w:val="VerbatimChar"/>
        </w:rPr>
        <w:t xml:space="preserve">a</w:t>
      </w:r>
      <w:r>
        <w:t xml:space="preserve"> </w:t>
      </w:r>
      <w:r>
        <w:t xml:space="preserve">(preserved) and no Altered/Borderline-Altered →</w:t>
      </w:r>
      <w:r>
        <w:t xml:space="preserve"> </w:t>
      </w:r>
      <w:r>
        <w:rPr>
          <w:b/>
          <w:bCs/>
        </w:rPr>
        <w:t xml:space="preserve">Type II·II</w:t>
      </w:r>
      <w:r>
        <w:t xml:space="preserve">;</w:t>
      </w:r>
      <w:r>
        <w:t xml:space="preserve"> </w:t>
      </w:r>
      <w:r>
        <w:t xml:space="preserve">(3b) any non-glucose</w:t>
      </w:r>
      <w:r>
        <w:t xml:space="preserve"> </w:t>
      </w:r>
      <w:r>
        <w:rPr>
          <w:b/>
          <w:bCs/>
        </w:rPr>
        <w:t xml:space="preserve">Enhanced</w:t>
      </w:r>
      <w:r>
        <w:t xml:space="preserve"> </w:t>
      </w:r>
      <w:r>
        <w:t xml:space="preserve">with glucose suffix</w:t>
      </w:r>
      <w:r>
        <w:t xml:space="preserve"> </w:t>
      </w:r>
      <w:r>
        <w:rPr>
          <w:rStyle w:val="VerbatimChar"/>
        </w:rPr>
        <w:t xml:space="preserve">b</w:t>
      </w:r>
      <w:r>
        <w:t xml:space="preserve"> </w:t>
      </w:r>
      <w:r>
        <w:t xml:space="preserve">or</w:t>
      </w:r>
      <w:r>
        <w:t xml:space="preserve"> </w:t>
      </w:r>
      <w:r>
        <w:rPr>
          <w:rStyle w:val="VerbatimChar"/>
        </w:rPr>
        <w:t xml:space="preserve">c</w:t>
      </w:r>
      <w:r>
        <w:t xml:space="preserve"> </w:t>
      </w:r>
      <w:r>
        <w:t xml:space="preserve">and no Altered/Borderline-Altered →</w:t>
      </w:r>
      <w:r>
        <w:t xml:space="preserve"> </w:t>
      </w:r>
      <w:r>
        <w:rPr>
          <w:b/>
          <w:bCs/>
        </w:rPr>
        <w:t xml:space="preserve">Type V·II</w:t>
      </w:r>
      <w:r>
        <w:t xml:space="preserve">;</w:t>
      </w:r>
      <w:r>
        <w:t xml:space="preserve"> </w:t>
      </w:r>
      <w:r>
        <w:t xml:space="preserve">(4a) any non-glucose</w:t>
      </w:r>
      <w:r>
        <w:t xml:space="preserve"> </w:t>
      </w:r>
      <w:r>
        <w:rPr>
          <w:b/>
          <w:bCs/>
        </w:rPr>
        <w:t xml:space="preserve">Borderline Enhanced</w:t>
      </w:r>
      <w:r>
        <w:t xml:space="preserve"> </w:t>
      </w:r>
      <w:r>
        <w:t xml:space="preserve">with glucose suffix</w:t>
      </w:r>
      <w:r>
        <w:t xml:space="preserve"> </w:t>
      </w:r>
      <w:r>
        <w:rPr>
          <w:rStyle w:val="VerbatimChar"/>
        </w:rPr>
        <w:t xml:space="preserve">a</w:t>
      </w:r>
      <w:r>
        <w:t xml:space="preserve"> </w:t>
      </w:r>
      <w:r>
        <w:t xml:space="preserve">→</w:t>
      </w:r>
      <w:r>
        <w:t xml:space="preserve"> </w:t>
      </w:r>
      <w:r>
        <w:rPr>
          <w:b/>
          <w:bCs/>
        </w:rPr>
        <w:t xml:space="preserve">Type II·I</w:t>
      </w:r>
      <w:r>
        <w:t xml:space="preserve">;</w:t>
      </w:r>
      <w:r>
        <w:t xml:space="preserve"> </w:t>
      </w:r>
      <w:r>
        <w:t xml:space="preserve">(4b) any non-glucose</w:t>
      </w:r>
      <w:r>
        <w:t xml:space="preserve"> </w:t>
      </w:r>
      <w:r>
        <w:rPr>
          <w:b/>
          <w:bCs/>
        </w:rPr>
        <w:t xml:space="preserve">Borderline Enhanced</w:t>
      </w:r>
      <w:r>
        <w:t xml:space="preserve"> </w:t>
      </w:r>
      <w:r>
        <w:t xml:space="preserve">with glucose suffix</w:t>
      </w:r>
      <w:r>
        <w:t xml:space="preserve"> </w:t>
      </w:r>
      <w:r>
        <w:rPr>
          <w:rStyle w:val="VerbatimChar"/>
        </w:rPr>
        <w:t xml:space="preserve">b</w:t>
      </w:r>
      <w:r>
        <w:t xml:space="preserve"> </w:t>
      </w:r>
      <w:r>
        <w:t xml:space="preserve">or</w:t>
      </w:r>
      <w:r>
        <w:t xml:space="preserve"> </w:t>
      </w:r>
      <w:r>
        <w:rPr>
          <w:rStyle w:val="VerbatimChar"/>
        </w:rPr>
        <w:t xml:space="preserve">c</w:t>
      </w:r>
      <w:r>
        <w:t xml:space="preserve"> </w:t>
      </w:r>
      <w:r>
        <w:t xml:space="preserve">→</w:t>
      </w:r>
      <w:r>
        <w:t xml:space="preserve"> </w:t>
      </w:r>
      <w:r>
        <w:rPr>
          <w:b/>
          <w:bCs/>
        </w:rPr>
        <w:t xml:space="preserve">Type V·I</w:t>
      </w:r>
      <w:r>
        <w:t xml:space="preserve">;</w:t>
      </w:r>
    </w:p>
    <w:p>
      <w:pPr>
        <w:pStyle w:val="Compact"/>
        <w:numPr>
          <w:ilvl w:val="0"/>
          <w:numId w:val="1001"/>
        </w:numPr>
      </w:pPr>
      <w:r>
        <w:t xml:space="preserve">any non-glucose</w:t>
      </w:r>
      <w:r>
        <w:t xml:space="preserve"> </w:t>
      </w:r>
      <w:r>
        <w:rPr>
          <w:b/>
          <w:bCs/>
        </w:rPr>
        <w:t xml:space="preserve">Impaired</w:t>
      </w:r>
      <w:r>
        <w:t xml:space="preserve"> </w:t>
      </w:r>
      <w:r>
        <w:t xml:space="preserve">or</w:t>
      </w:r>
      <w:r>
        <w:t xml:space="preserve"> </w:t>
      </w:r>
      <w:r>
        <w:rPr>
          <w:b/>
          <w:bCs/>
        </w:rPr>
        <w:t xml:space="preserve">Blunted</w:t>
      </w:r>
      <w:r>
        <w:t xml:space="preserve"> </w:t>
      </w:r>
      <w:r>
        <w:t xml:space="preserve">without (1)–(4) →</w:t>
      </w:r>
      <w:r>
        <w:t xml:space="preserve"> </w:t>
      </w:r>
      <w:r>
        <w:rPr>
          <w:b/>
          <w:bCs/>
        </w:rPr>
        <w:t xml:space="preserve">Type III·II</w:t>
      </w:r>
      <w:r>
        <w:t xml:space="preserve">;</w:t>
      </w:r>
    </w:p>
    <w:p>
      <w:pPr>
        <w:pStyle w:val="Compact"/>
        <w:numPr>
          <w:ilvl w:val="0"/>
          <w:numId w:val="1001"/>
        </w:numPr>
      </w:pPr>
      <w:r>
        <w:t xml:space="preserve">any non-glucose</w:t>
      </w:r>
      <w:r>
        <w:t xml:space="preserve"> </w:t>
      </w:r>
      <w:r>
        <w:rPr>
          <w:b/>
          <w:bCs/>
        </w:rPr>
        <w:t xml:space="preserve">Borderline Impaired</w:t>
      </w:r>
      <w:r>
        <w:t xml:space="preserve"> </w:t>
      </w:r>
      <w:r>
        <w:t xml:space="preserve">without (1)–(5) →</w:t>
      </w:r>
      <w:r>
        <w:t xml:space="preserve"> </w:t>
      </w:r>
      <w:r>
        <w:rPr>
          <w:b/>
          <w:bCs/>
        </w:rPr>
        <w:t xml:space="preserve">Type III·I</w:t>
      </w:r>
      <w:r>
        <w:t xml:space="preserve">;</w:t>
      </w:r>
    </w:p>
    <w:p>
      <w:pPr>
        <w:pStyle w:val="Compact"/>
        <w:numPr>
          <w:ilvl w:val="0"/>
          <w:numId w:val="1001"/>
        </w:numPr>
      </w:pPr>
      <w:r>
        <w:t xml:space="preserve">all non-glucose analytes</w:t>
      </w:r>
      <w:r>
        <w:t xml:space="preserve"> </w:t>
      </w:r>
      <w:r>
        <w:rPr>
          <w:b/>
          <w:bCs/>
        </w:rPr>
        <w:t xml:space="preserve">Preserved</w:t>
      </w:r>
      <w:r>
        <w:t xml:space="preserve"> </w:t>
      </w:r>
      <w:r>
        <w:t xml:space="preserve">→</w:t>
      </w:r>
      <w:r>
        <w:t xml:space="preserve"> </w:t>
      </w:r>
      <w:r>
        <w:rPr>
          <w:b/>
          <w:bCs/>
        </w:rPr>
        <w:t xml:space="preserve">Type I·I</w:t>
      </w:r>
      <w:r>
        <w:t xml:space="preserve">;</w:t>
      </w:r>
    </w:p>
    <w:p>
      <w:pPr>
        <w:pStyle w:val="Compact"/>
        <w:numPr>
          <w:ilvl w:val="0"/>
          <w:numId w:val="1001"/>
        </w:numPr>
      </w:pPr>
      <w:r>
        <w:t xml:space="preserve">at least one</w:t>
      </w:r>
      <w:r>
        <w:t xml:space="preserve"> </w:t>
      </w:r>
      <w:r>
        <w:rPr>
          <w:b/>
          <w:bCs/>
        </w:rPr>
        <w:t xml:space="preserve">Recovered</w:t>
      </w:r>
      <w:r>
        <w:t xml:space="preserve"> </w:t>
      </w:r>
      <w:r>
        <w:t xml:space="preserve">with the remainder Preserved or Recovered →</w:t>
      </w:r>
      <w:r>
        <w:t xml:space="preserve"> </w:t>
      </w:r>
      <w:r>
        <w:rPr>
          <w:b/>
          <w:bCs/>
        </w:rPr>
        <w:t xml:space="preserve">Type I·II</w:t>
      </w:r>
      <w:r>
        <w:t xml:space="preserve">.</w:t>
      </w:r>
    </w:p>
    <w:p>
      <w:pPr>
        <w:pStyle w:val="FirstParagraph"/>
      </w:pPr>
      <w:r>
        <w:t xml:space="preserve">The hierarchy is conjunctive in (1)–(2) (single Altered label triggers IV) and disjunctive in (3)–(8). Glycaemic-context suffixes a/b/c attach only to Types III, IV, V; Types I and II are by construction normoglycaemic. Subjects whose per-analyte PTP vector contains insufficient non-glucose evaluable analytes (fewer than two non-glucose axes after Discordant flags) are tagged</w:t>
      </w:r>
      <w:r>
        <w:t xml:space="preserve"> </w:t>
      </w:r>
      <w:r>
        <w:rPr>
          <w:b/>
          <w:bCs/>
        </w:rPr>
        <w:t xml:space="preserve">not classifiable</w:t>
      </w:r>
      <w:r>
        <w:t xml:space="preserve"> </w:t>
      </w:r>
      <w:r>
        <w:t xml:space="preserve">and contribute to the structural denominator without entering inferential statistics.</w:t>
      </w:r>
    </w:p>
    <w:bookmarkEnd w:id="16"/>
    <w:bookmarkStart w:id="17" w:name="X87849f9afc115fee43246f3d8fa8b63bf2e5620"/>
    <w:p>
      <w:pPr>
        <w:pStyle w:val="Heading3"/>
      </w:pPr>
      <w:r>
        <w:t xml:space="preserve">Reference-distribution standardisation (referenced to A2 Theorems S1.7–S1.8)</w:t>
      </w:r>
    </w:p>
    <w:p>
      <w:pPr>
        <w:pStyle w:val="FirstParagraph"/>
      </w:pPr>
      <w:r>
        <w:t xml:space="preserve">The non-obese-without-T2D cohort defines the reference distribution against which per-analyte BLUP scores are componentwise standardised. The single-reference convention is intentional: it preserves the cross-cohort interpretability of the Integrated Type axis. Identifiability of the Type assignment under the Chiou normalisation is the subject of Theorems S1.7 and S1.8 of companion paper A2.</w:t>
      </w:r>
    </w:p>
    <w:bookmarkEnd w:id="17"/>
    <w:bookmarkEnd w:id="18"/>
    <w:bookmarkStart w:id="19" w:name="Xc304d60906f2703c3d337ec3268e3e4637f6c50"/>
    <w:p>
      <w:pPr>
        <w:pStyle w:val="Heading2"/>
      </w:pPr>
      <w:r>
        <w:t xml:space="preserve">Statistical inference (referenced to companion paper A2)</w:t>
      </w:r>
    </w:p>
    <w:p>
      <w:pPr>
        <w:pStyle w:val="BlockText"/>
      </w:pPr>
      <w:r>
        <w:t xml:space="preserve">Multivariate inference (Pillai trace and FANOVA permutation), Mahalanobis distances, simultaneous bootstrap bands, and the four pre-specified sensitivities (±0·5 SD threshold; leave-one-axis-out; ρ-AR(1); challenge-class pooling) are described in detail in companion paper A2 (</w:t>
      </w:r>
      <w:r>
        <w:rPr>
          <w:i/>
          <w:iCs/>
        </w:rPr>
        <w:t xml:space="preserve">The Lancet Diabetes &amp; Endocrinology</w:t>
      </w:r>
      <w:r>
        <w:t xml:space="preserve">, branch</w:t>
      </w:r>
      <w:r>
        <w:t xml:space="preserve"> </w:t>
      </w:r>
      <w:r>
        <w:rPr>
          <w:rStyle w:val="VerbatimChar"/>
        </w:rPr>
        <w:t xml:space="preserve">lancet-A2-mathematical</w:t>
      </w:r>
      <w:r>
        <w:t xml:space="preserve">, tag</w:t>
      </w:r>
      <w:r>
        <w:t xml:space="preserve"> </w:t>
      </w:r>
      <w:r>
        <w:rPr>
          <w:rStyle w:val="VerbatimChar"/>
        </w:rPr>
        <w:t xml:space="preserve">A2-submitted-2026-05-09</w:t>
      </w:r>
      <w:r>
        <w:t xml:space="preserve">). F values are reported as cohort-separation magnitudes per Procedure L3·9 of A2.</w:t>
      </w:r>
    </w:p>
    <w:bookmarkEnd w:id="19"/>
    <w:bookmarkStart w:id="20"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w:t>
      </w:r>
      <w:r>
        <w:t xml:space="preserve"> </w:t>
      </w:r>
      <w:r>
        <w:rPr>
          <w:rStyle w:val="VerbatimChar"/>
        </w:rPr>
        <w:t xml:space="preserve">ggplot2</w:t>
      </w:r>
      <w:r>
        <w:t xml:space="preserve"> </w:t>
      </w:r>
      <w:r>
        <w:t xml:space="preserve">4·0-3,</w:t>
      </w:r>
      <w:r>
        <w:t xml:space="preserve"> </w:t>
      </w:r>
      <w:r>
        <w:rPr>
          <w:rStyle w:val="VerbatimChar"/>
        </w:rPr>
        <w:t xml:space="preserve">patchwork</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 sixteen R scripts; the present article is supported by the article-specific</w:t>
      </w:r>
      <w:r>
        <w:t xml:space="preserve"> </w:t>
      </w:r>
      <w:r>
        <w:rPr>
          <w:rStyle w:val="VerbatimChar"/>
        </w:rPr>
        <w:t xml:space="preserve">02_code/10_A3_methodological_figs.R</w:t>
      </w:r>
      <w:r>
        <w:t xml:space="preserve">. All scripts and outputs are deposited at Zenodo (concept DOI 10.5281/zenodo.19743544) and on GitHub (</w:t>
      </w:r>
      <w:r>
        <w:rPr>
          <w:rStyle w:val="VerbatimChar"/>
        </w:rPr>
        <w:t xml:space="preserve">sv8wmxnbp8-hash/EPP10</w:t>
      </w:r>
      <w:r>
        <w:t xml:space="preserve"> </w:t>
      </w:r>
      <w:r>
        <w:t xml:space="preserve">v1·4) under CC-BY 4·0. Reporting follows STROBE for cohort studies</w:t>
      </w:r>
      <w:r>
        <w:rPr>
          <w:b/>
          <w:bCs/>
          <w:vertAlign w:val="superscript"/>
        </w:rPr>
        <w:t xml:space="preserve">Ramsay2005?</w:t>
      </w:r>
      <w:r>
        <w:t xml:space="preserve">;</w:t>
      </w:r>
      <w:r>
        <w:t xml:space="preserve"> </w:t>
      </w:r>
      <w:r>
        <w:rPr>
          <w:b/>
          <w:bCs/>
        </w:rPr>
        <w:t xml:space="preserve">TRIPOD+AI</w:t>
      </w:r>
      <w:r>
        <w:rPr>
          <w:b/>
          <w:bCs/>
          <w:vertAlign w:val="superscript"/>
        </w:rPr>
        <w:t xml:space="preserve">9</w:t>
      </w:r>
      <w:r>
        <w:rPr>
          <w:b/>
          <w:bCs/>
        </w:rPr>
        <w:t xml:space="preserve"> </w:t>
      </w:r>
      <w:r>
        <w:rPr>
          <w:b/>
          <w:bCs/>
        </w:rPr>
        <w:t xml:space="preserve">is declared pending</w:t>
      </w:r>
      <w:r>
        <w:t xml:space="preserve"> </w:t>
      </w:r>
      <w:r>
        <w:t xml:space="preserve">— the framework is hypothesis-generating, and prospective individual-participant validation will trigger TRIPOD+AI compliance at that stage. Ecological aggregate-level analysis required no ethics review.</w:t>
      </w:r>
    </w:p>
    <w:bookmarkEnd w:id="20"/>
    <w:bookmarkStart w:id="21"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21"/>
    <w:bookmarkEnd w:id="22"/>
    <w:bookmarkStart w:id="30" w:name="findings"/>
    <w:p>
      <w:pPr>
        <w:pStyle w:val="Heading1"/>
      </w:pPr>
      <w:r>
        <w:t xml:space="preserve">Findings</w:t>
      </w:r>
    </w:p>
    <w:bookmarkStart w:id="23"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seven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The smallest joint block contained n=350 pseudo-subjects (Table 1). The PTP per-analyte layer evaluated 8,050 analyte–subject classifications across the 2,750 pseudo-subjects.</w:t>
      </w:r>
    </w:p>
    <w:bookmarkEnd w:id="23"/>
    <w:bookmarkStart w:id="24" w:name="ptp-per-analyte-distribution"/>
    <w:p>
      <w:pPr>
        <w:pStyle w:val="Heading2"/>
      </w:pPr>
      <w:r>
        <w:t xml:space="preserve">PTP per-analyte distribution</w:t>
      </w:r>
    </w:p>
    <w:p>
      <w:pPr>
        <w:pStyle w:val="FirstParagraph"/>
      </w:pPr>
      <w:r>
        <w:t xml:space="preserve">Across the 8,050 analyte–subject pairings,</w:t>
      </w:r>
      <w:r>
        <w:t xml:space="preserve"> </w:t>
      </w:r>
      <w:r>
        <w:rPr>
          <w:b/>
          <w:bCs/>
        </w:rPr>
        <w:t xml:space="preserve">67·1 % were Preserved</w:t>
      </w:r>
      <w:r>
        <w:t xml:space="preserve">, 8·6 % Borderline Impaired, 6·3 % Discordant_Basal, 5·8 % Borderline Altered, 4·8 % Discordant_High, 3·7 % Altered, 2·2 % Impaired, 1·5 % Discordant_Low, and 0 % Blunted; the conjunctive criterion for Blunted (reduced amplitude with flattened morphology on the same axis) was not met by any subject in this run. The Discordant flags accounted for 12·6 % of all classifications and were concentrated in T2DM and obesity+T2DM at the basal time point. Threshold sensitivity to ±0·5 SD displacement reassigned at most 6·8 % of per-analyte labels; leave-one-axis-out preserved ≥ 90 % of integrated Type assignments except when the glucagon block was dropped, where the non-classifiable rate increased by 3·1 percentage points.</w:t>
      </w:r>
    </w:p>
    <w:bookmarkEnd w:id="24"/>
    <w:bookmarkStart w:id="28" w:name="Xb09bef4bca01cb4d219c765bc7164c309b24a16"/>
    <w:p>
      <w:pPr>
        <w:pStyle w:val="Heading2"/>
      </w:pPr>
      <w:r>
        <w:t xml:space="preserve">Integrated Enteropancreatic Pattern Types I–V — three signatures</w:t>
      </w:r>
    </w:p>
    <w:bookmarkStart w:id="25" w:name="Xdf2a7b72bd49ca87eeca31e7c677e553ee4f773"/>
    <w:p>
      <w:pPr>
        <w:pStyle w:val="Heading3"/>
      </w:pPr>
      <w:r>
        <w:t xml:space="preserve">Bariatric signature: Type V is bariatric-dominant, not RYGBP-exclusive</w:t>
      </w:r>
    </w:p>
    <w:p>
      <w:pPr>
        <w:pStyle w:val="FirstParagraph"/>
      </w:pPr>
      <w:r>
        <w:t xml:space="preserve">Type V was modal in both bariatric cohorts:</w:t>
      </w:r>
      <w:r>
        <w:t xml:space="preserve"> </w:t>
      </w:r>
      <w:r>
        <w:rPr>
          <w:b/>
          <w:bCs/>
        </w:rPr>
        <w:t xml:space="preserve">43·3 % of RYGBP</w:t>
      </w:r>
      <w:r>
        <w:t xml:space="preserve"> </w:t>
      </w:r>
      <w:r>
        <w:t xml:space="preserve">(n=195/450; q=0·035) and</w:t>
      </w:r>
      <w:r>
        <w:t xml:space="preserve"> </w:t>
      </w:r>
      <w:r>
        <w:rPr>
          <w:b/>
          <w:bCs/>
        </w:rPr>
        <w:t xml:space="preserve">30·7 % of SG</w:t>
      </w:r>
      <w:r>
        <w:t xml:space="preserve"> </w:t>
      </w:r>
      <w:r>
        <w:t xml:space="preserve">(n=92/300; q=0·035). RYGBP retained markedly elevated PYY total amplitude (BLUP score on Ψ̂_1 above +2 SD) with GLP-1 active enhancement; SG combined PYY enhancement with ghrelin-total Blunted-equivalent depression consistent with fundic resection</w:t>
      </w:r>
      <w:r>
        <w:rPr>
          <w:b/>
          <w:bCs/>
          <w:vertAlign w:val="superscript"/>
        </w:rPr>
        <w:t xml:space="preserve">LeRoux2006?</w:t>
      </w:r>
      <w:r>
        <w:rPr>
          <w:vertAlign w:val="superscript"/>
        </w:rPr>
        <w:t xml:space="preserve">,</w:t>
      </w:r>
      <w:r>
        <w:rPr>
          <w:b/>
          <w:bCs/>
          <w:vertAlign w:val="superscript"/>
        </w:rPr>
        <w:t xml:space="preserve">Svane2019?</w:t>
      </w:r>
      <w:r>
        <w:t xml:space="preserve">. The 12·6 pp RYGBP–SG separation on Type V prevalence is consistent with stronger undiluted-nutrient distal L-cell exposure in RYGBP. Both cohorts retain heterogeneous Type I·I and Type IV minorities (display item DI3).</w:t>
      </w:r>
    </w:p>
    <w:bookmarkEnd w:id="25"/>
    <w:bookmarkStart w:id="26" w:name="X4417ca60c24c3485505cbefc3bfc3e759cdf19a"/>
    <w:p>
      <w:pPr>
        <w:pStyle w:val="Heading3"/>
      </w:pPr>
      <w:r>
        <w:t xml:space="preserve">Disease signature: Type III dominates obesity+T2DM and post-caloric-restriction</w:t>
      </w:r>
    </w:p>
    <w:p>
      <w:pPr>
        <w:pStyle w:val="FirstParagraph"/>
      </w:pPr>
      <w:r>
        <w:t xml:space="preserve">Type III (infra-physiological) was the modal Integrated Type in both</w:t>
      </w:r>
      <w:r>
        <w:t xml:space="preserve"> </w:t>
      </w:r>
      <w:r>
        <w:rPr>
          <w:b/>
          <w:bCs/>
        </w:rPr>
        <w:t xml:space="preserve">obesity+T2DM (40·0 %, q=0·035)</w:t>
      </w:r>
      <w:r>
        <w:t xml:space="preserve"> </w:t>
      </w:r>
      <w:r>
        <w:t xml:space="preserve">and</w:t>
      </w:r>
      <w:r>
        <w:t xml:space="preserve"> </w:t>
      </w:r>
      <w:r>
        <w:rPr>
          <w:b/>
          <w:bCs/>
        </w:rPr>
        <w:t xml:space="preserve">post-caloric-restriction (Post-CR; 36·8 %, q=0·035)</w:t>
      </w:r>
      <w:r>
        <w:t xml:space="preserve">. Type III·c (with glucose dysglycaemia) was modal in obesity+T2DM and converged with the classical incretin defect</w:t>
      </w:r>
      <w:r>
        <w:rPr>
          <w:b/>
          <w:bCs/>
          <w:vertAlign w:val="superscript"/>
        </w:rPr>
        <w:t xml:space="preserve">Nauck1986?</w:t>
      </w:r>
      <w:r>
        <w:rPr>
          <w:vertAlign w:val="superscript"/>
        </w:rPr>
        <w:t xml:space="preserve">,</w:t>
      </w:r>
      <w:r>
        <w:rPr>
          <w:b/>
          <w:bCs/>
          <w:vertAlign w:val="superscript"/>
        </w:rPr>
        <w:t xml:space="preserve">Holst2007?</w:t>
      </w:r>
      <w:r>
        <w:t xml:space="preserve">. The Post-CR Type III dominance reframes partial glycaemic remission: glucose may return to the reference range (Type III·a or III·b in some Post-CR subjects) while incretin and PYY amplitudes remain attenuated — a state of</w:t>
      </w:r>
      <w:r>
        <w:t xml:space="preserve"> </w:t>
      </w:r>
      <w:r>
        <w:rPr>
          <w:b/>
          <w:bCs/>
        </w:rPr>
        <w:t xml:space="preserve">persistent infra-physiological signalling</w:t>
      </w:r>
      <w:r>
        <w:t xml:space="preserve"> </w:t>
      </w:r>
      <w:r>
        <w:t xml:space="preserve">rather than uniform return to the reference distribution. T2DM showed Type III at 29·5 % of evaluable subjects but was excluded from the joint Pillai panel by the smallest-block constraint; per-analyte signatures are reported at the univariate level.</w:t>
      </w:r>
    </w:p>
    <w:bookmarkEnd w:id="26"/>
    <w:bookmarkStart w:id="27" w:name="Xc6b4a705d77324dd708cbb2a293101638a768c0"/>
    <w:p>
      <w:pPr>
        <w:pStyle w:val="Heading3"/>
      </w:pPr>
      <w:r>
        <w:t xml:space="preserve">Reference signature: Type I·I dominates non-obese-without-T2D, with a structural not-classifiable share</w:t>
      </w:r>
    </w:p>
    <w:p>
      <w:pPr>
        <w:pStyle w:val="FirstParagraph"/>
      </w:pPr>
      <w:r>
        <w:t xml:space="preserve">Type I·I (preserved across all non-glucose axes) was the modal Integrated Type in the non-obese-without-T2D reference cohort at</w:t>
      </w:r>
      <w:r>
        <w:t xml:space="preserve"> </w:t>
      </w:r>
      <w:r>
        <w:rPr>
          <w:b/>
          <w:bCs/>
        </w:rPr>
        <w:t xml:space="preserve">32·2 % of evaluable subjects</w:t>
      </w:r>
      <w:r>
        <w:t xml:space="preserve">, accompanied by a 32·2 % Type I·I share in obesity. The reference cohort also displayed a</w:t>
      </w:r>
      <w:r>
        <w:t xml:space="preserve"> </w:t>
      </w:r>
      <w:r>
        <w:rPr>
          <w:b/>
          <w:bCs/>
        </w:rPr>
        <w:t xml:space="preserve">23·1 % not-classifiable rate</w:t>
      </w:r>
      <w:r>
        <w:t xml:space="preserve"> </w:t>
      </w:r>
      <w:r>
        <w:t xml:space="preserve">— a structural consequence of historical source-protocol heterogeneity. 150 pseudo-subjects originated from arms that measured only one hormone, falling below the two-non-glucose-axis minimum required by the integrated typing rules; missing analytes were not imputed by design. All nine analytes of the joint operator met the n_ref ≥ 8 reference-adequacy criterion at the per-analyte layer.</w:t>
      </w:r>
    </w:p>
    <w:bookmarkEnd w:id="27"/>
    <w:bookmarkEnd w:id="28"/>
    <w:bookmarkStart w:id="29" w:name="Xf742444eb1758e484556dfaf38268a8aeb51763"/>
    <w:p>
      <w:pPr>
        <w:pStyle w:val="Heading2"/>
      </w:pPr>
      <w:r>
        <w:t xml:space="preserve">Cross-cohort separability and bootstrap stability (referenced to companion paper A2)</w:t>
      </w:r>
    </w:p>
    <w:p>
      <w:pPr>
        <w:pStyle w:val="FirstParagraph"/>
      </w:pPr>
      <w:r>
        <w:t xml:space="preserve">Pillai trace on the joint score panel (n=350 after the smallest-block constraint) yielded an omnibus F=18·29; pairwise contrasts vs the reference cohort gave F=52·09 (caloric restriction), 9·63 (obesity+T2DM), and 7·78 (obesity), with permutation p saturating at B⁻¹ ≈ 2·10⁻⁴ as expected at this sample size. Subject-level bootstrap stability was ≥ 80 % for the modal Type assignment in every cohort. F values are reported as cohort-separation magnitudes, not as small-sample frequentist test statistics. T2DM, RYGBP, and SG did not survive the n ≥ 50 per-block filter for the joint Pillai panel; their multivariate separability appears at the per-analyte univariate level via Mahalanobis distances and the IEP prevalence permutation reported in Table 2.</w:t>
      </w:r>
    </w:p>
    <w:p>
      <w:r>
        <w:pict>
          <v:rect style="width:0;height:1.5pt" o:hralign="center" o:hrstd="t" o:hr="t"/>
        </w:pict>
      </w:r>
    </w:p>
    <w:bookmarkEnd w:id="29"/>
    <w:bookmarkEnd w:id="30"/>
    <w:bookmarkStart w:id="38" w:name="discussion"/>
    <w:p>
      <w:pPr>
        <w:pStyle w:val="Heading1"/>
      </w:pPr>
      <w:r>
        <w:t xml:space="preserve">Discussion</w:t>
      </w:r>
    </w:p>
    <w:bookmarkStart w:id="31" w:name="principal-clinical-findings"/>
    <w:p>
      <w:pPr>
        <w:pStyle w:val="Heading2"/>
      </w:pPr>
      <w:r>
        <w:t xml:space="preserve">Principal clinical findings</w:t>
      </w:r>
    </w:p>
    <w:p>
      <w:pPr>
        <w:pStyle w:val="FirstParagraph"/>
      </w:pPr>
      <w:r>
        <w:t xml:space="preserve">Three findings frame the clinical translation of the FDEP-TP framework. The</w:t>
      </w:r>
      <w:r>
        <w:t xml:space="preserve"> </w:t>
      </w:r>
      <w:r>
        <w:rPr>
          <w:b/>
          <w:bCs/>
        </w:rPr>
        <w:t xml:space="preserve">bariatric phenotype is integrated, not RYGBP-exclusive</w:t>
      </w:r>
      <w:r>
        <w:t xml:space="preserve">: Type V dominance in both RYGBP and SG (43·3 % and 30·7 %, q=0·035) supports treating bariatric responses as a continuous Type axis rather than a procedure-specific category.</w:t>
      </w:r>
      <w:r>
        <w:t xml:space="preserve"> </w:t>
      </w:r>
      <w:r>
        <w:rPr>
          <w:b/>
          <w:bCs/>
        </w:rPr>
        <w:t xml:space="preserve">Disease and post-restriction states share an infra-physiological signature</w:t>
      </w:r>
      <w:r>
        <w:t xml:space="preserve">: Type III dominance in obesity+T2DM (40·0 %) and Post-CR (36·8 %, both q=0·035) reframes partial remission as persistent dysphysiological signalling. The</w:t>
      </w:r>
      <w:r>
        <w:t xml:space="preserve"> </w:t>
      </w:r>
      <w:r>
        <w:rPr>
          <w:b/>
          <w:bCs/>
        </w:rPr>
        <w:t xml:space="preserve">reference cohort defines the canonical periprandial signature</w:t>
      </w:r>
      <w:r>
        <w:t xml:space="preserve"> </w:t>
      </w:r>
      <w:r>
        <w:t xml:space="preserve">at Type I·I = 32·2 %, with 23·1 % structural not-classifiable arising from single-analyte source arms (not from statistical failure).</w:t>
      </w:r>
    </w:p>
    <w:bookmarkEnd w:id="31"/>
    <w:bookmarkStart w:id="32" w:name="comparison-with-existing-taxonomies"/>
    <w:p>
      <w:pPr>
        <w:pStyle w:val="Heading2"/>
      </w:pPr>
      <w:r>
        <w:t xml:space="preserve">Comparison with existing taxonomies</w:t>
      </w:r>
    </w:p>
    <w:p>
      <w:pPr>
        <w:pStyle w:val="FirstParagraph"/>
      </w:pPr>
      <w:r>
        <w:t xml:space="preserve">The Ahlqvist five-cluster taxonomy</w:t>
      </w:r>
      <w:r>
        <w:rPr>
          <w:vertAlign w:val="superscript"/>
        </w:rPr>
        <w:t xml:space="preserve">1</w:t>
      </w:r>
      <w:r>
        <w:t xml:space="preserve">, the Udler soft-genetic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features. These frameworks are powerful for population stratification and risk prediction but do not generate the operational keys required for agonist selection or for indicating metabolic surgery. The PREDICT cohort</w:t>
      </w:r>
      <w:r>
        <w:rPr>
          <w:b/>
          <w:bCs/>
          <w:vertAlign w:val="superscript"/>
        </w:rPr>
        <w:t xml:space="preserve">Berry2020?</w:t>
      </w:r>
      <w:r>
        <w:t xml:space="preserve"> </w:t>
      </w:r>
      <w:r>
        <w:t xml:space="preserve">measured periprandial glucose, triglycerides, and insulin in 1,002 twins and demonstrated extensive heterogeneity but did not measure incretins, PYY, or ghrelin. Glucotypes</w:t>
      </w:r>
      <w:r>
        <w:rPr>
          <w:b/>
          <w:bCs/>
          <w:vertAlign w:val="superscript"/>
        </w:rPr>
        <w:t xml:space="preserve">Hall2018?</w:t>
      </w:r>
      <w:r>
        <w:t xml:space="preserve"> </w:t>
      </w:r>
      <w:r>
        <w:t xml:space="preserve">decomposed continuous-glucose-monitoring trajectories within the glucose channel only. The PTP/IEP framework reported here extends these efforts to the</w:t>
      </w:r>
      <w:r>
        <w:t xml:space="preserve"> </w:t>
      </w:r>
      <w:r>
        <w:rPr>
          <w:b/>
          <w:bCs/>
        </w:rPr>
        <w:t xml:space="preserve">joint enteropancreatic axis</w:t>
      </w:r>
      <w:r>
        <w:t xml:space="preserve"> </w:t>
      </w:r>
      <w:r>
        <w:t xml:space="preserve">with an explicit operational classifier and an algorithm.</w:t>
      </w:r>
    </w:p>
    <w:bookmarkEnd w:id="32"/>
    <w:bookmarkStart w:id="33" w:name="Xb701d2bb2cbc96ad9b1a9492ffc388afc884626"/>
    <w:p>
      <w:pPr>
        <w:pStyle w:val="Heading2"/>
      </w:pPr>
      <w:r>
        <w:t xml:space="preserve">Clinical implications: agonist selection and metabolic-surgery indication</w:t>
      </w:r>
    </w:p>
    <w:p>
      <w:pPr>
        <w:pStyle w:val="FirstParagraph"/>
      </w:pPr>
      <w:r>
        <w:t xml:space="preserve">Display item DI4 renders the proposed clinical-decision tree. The algorithm proceeds in three steps: (1) compute the per-analyte PTP nine-label vector; (2) aggregate to an Integrated Type via the eight-rule precedence; (3) attach the glycaemic-context suffix a/b/c. The action layer is then keyed on Type and suffix.</w:t>
      </w:r>
      <w:r>
        <w:t xml:space="preserve"> </w:t>
      </w:r>
      <w:r>
        <w:rPr>
          <w:b/>
          <w:bCs/>
        </w:rPr>
        <w:t xml:space="preserve">Type I·I or II</w:t>
      </w:r>
      <w:r>
        <w:t xml:space="preserve"> </w:t>
      </w:r>
      <w:r>
        <w:t xml:space="preserve">subjects receive lifestyle support without pharmacotherapy.</w:t>
      </w:r>
      <w:r>
        <w:t xml:space="preserve"> </w:t>
      </w:r>
      <w:r>
        <w:rPr>
          <w:b/>
          <w:bCs/>
        </w:rPr>
        <w:t xml:space="preserve">Type III</w:t>
      </w:r>
      <w:r>
        <w:t xml:space="preserve"> </w:t>
      </w:r>
      <w:r>
        <w:t xml:space="preserve">subjects (infra-physiological signalling) are candidates for receptor-agonist therapy — a single GLP-1 receptor agonist (semaglutide</w:t>
      </w:r>
      <w:r>
        <w:rPr>
          <w:vertAlign w:val="superscript"/>
        </w:rPr>
        <w:t xml:space="preserve">6</w:t>
      </w:r>
      <w:r>
        <w:t xml:space="preserve">), a dual GIP/GLP-1 agonist (tirzepatide</w:t>
      </w:r>
      <w:r>
        <w:rPr>
          <w:vertAlign w:val="superscript"/>
        </w:rPr>
        <w:t xml:space="preserve">7</w:t>
      </w:r>
      <w:r>
        <w:t xml:space="preserve">), or a triple GLP-1/GIP/glucagon agonist (retatrutide</w:t>
      </w:r>
      <w:r>
        <w:rPr>
          <w:vertAlign w:val="superscript"/>
        </w:rPr>
        <w:t xml:space="preserve">8</w:t>
      </w:r>
      <w:r>
        <w:t xml:space="preserve">; the</w:t>
      </w:r>
      <w:r>
        <w:t xml:space="preserve"> </w:t>
      </w:r>
      <w:r>
        <w:t xml:space="preserve">“Tipo VI”</w:t>
      </w:r>
      <w:r>
        <w:t xml:space="preserve"> </w:t>
      </w:r>
      <w:r>
        <w:t xml:space="preserve">extension).</w:t>
      </w:r>
      <w:r>
        <w:t xml:space="preserve"> </w:t>
      </w:r>
      <w:r>
        <w:rPr>
          <w:b/>
          <w:bCs/>
        </w:rPr>
        <w:t xml:space="preserve">Type IV</w:t>
      </w:r>
      <w:r>
        <w:t xml:space="preserve"> </w:t>
      </w:r>
      <w:r>
        <w:t xml:space="preserve">subjects (altered morphology) receive individualised mechanism-driven workup.</w:t>
      </w:r>
      <w:r>
        <w:t xml:space="preserve"> </w:t>
      </w:r>
      <w:r>
        <w:rPr>
          <w:b/>
          <w:bCs/>
        </w:rPr>
        <w:t xml:space="preserve">Type V with glucose dysglycaemia</w:t>
      </w:r>
      <w:r>
        <w:t xml:space="preserve"> </w:t>
      </w:r>
      <w:r>
        <w:t xml:space="preserve">are metabolic-surgery candidates per the 2025 Lancet D&amp;E commission</w:t>
      </w:r>
      <w:r>
        <w:rPr>
          <w:vertAlign w:val="superscript"/>
        </w:rPr>
        <w:t xml:space="preserve">5</w:t>
      </w:r>
      <w:r>
        <w:t xml:space="preserve"> </w:t>
      </w:r>
      <w:r>
        <w:t xml:space="preserve">and the Lobato 2025 metabolic-surgery framework</w:t>
      </w:r>
      <w:r>
        <w:rPr>
          <w:b/>
          <w:bCs/>
          <w:vertAlign w:val="superscript"/>
        </w:rPr>
        <w:t xml:space="preserve">Lobato2025?</w:t>
      </w:r>
      <w:r>
        <w:t xml:space="preserve">;</w:t>
      </w:r>
      <w:r>
        <w:t xml:space="preserve"> </w:t>
      </w:r>
      <w:r>
        <w:rPr>
          <w:b/>
          <w:bCs/>
        </w:rPr>
        <w:t xml:space="preserve">Type V without glucose dysglycaemia</w:t>
      </w:r>
      <w:r>
        <w:t xml:space="preserve"> </w:t>
      </w:r>
      <w:r>
        <w:t xml:space="preserve">are the post-bariatric maintenance cohort. The algorithm is hypothesis-generating: percentile thresholds and Type-keyed actions await prospective TRIPOD+AI individual-participant validation.</w:t>
      </w:r>
    </w:p>
    <w:bookmarkEnd w:id="33"/>
    <w:bookmarkStart w:id="34" w:name="X3609e6ea1ea09be0c6109242011ecdb48abd695"/>
    <w:p>
      <w:pPr>
        <w:pStyle w:val="Heading2"/>
      </w:pPr>
      <w:r>
        <w:t xml:space="preserve">Mechanistic interpretation (referenced to companion paper A1)</w:t>
      </w:r>
    </w:p>
    <w:p>
      <w:pPr>
        <w:pStyle w:val="BlockText"/>
      </w:pPr>
      <w:r>
        <w:t xml:space="preserve">The mechanistic interpretation of the four leading mFPC eigenfunctions — distal L-cell dominance (Ψ̂_1), proximal-versus-distal entero-endocrine sequencing (Ψ̂_2), biphasic glucose–insulin coupling (Ψ̂_3), and ghrelin tone (Ψ̂_4) — is the subject of companion paper A1 (</w:t>
      </w:r>
      <w:r>
        <w:rPr>
          <w:i/>
          <w:iCs/>
        </w:rPr>
        <w:t xml:space="preserve">The Lancet Diabetes &amp; Endocrinology</w:t>
      </w:r>
      <w:r>
        <w:t xml:space="preserve">, branch</w:t>
      </w:r>
      <w:r>
        <w:t xml:space="preserve"> </w:t>
      </w:r>
      <w:r>
        <w:rPr>
          <w:rStyle w:val="VerbatimChar"/>
        </w:rPr>
        <w:t xml:space="preserve">lancet-A1-conceptual</w:t>
      </w:r>
      <w:r>
        <w:t xml:space="preserve">). The PTP/IEP layer reported here translates the eigenstructure into clinically actionable per-analyte and integrated Types.</w:t>
      </w:r>
    </w:p>
    <w:bookmarkEnd w:id="34"/>
    <w:bookmarkStart w:id="35" w:name="strengths-and-limitations"/>
    <w:p>
      <w:pPr>
        <w:pStyle w:val="Heading2"/>
      </w:pPr>
      <w:r>
        <w:t xml:space="preserve">Strengths and limitations</w:t>
      </w:r>
    </w:p>
    <w:p>
      <w:pPr>
        <w:pStyle w:val="FirstParagraph"/>
      </w:pPr>
      <w:r>
        <w:t xml:space="preserve">The framework’s clinical strengths are: (i) explicit operational classification with reproducible eight-rule precedence; (ii) integrated multi-hormonal evaluation under positive-semidefinite-by-construction estimation</w:t>
      </w:r>
      <w:r>
        <w:rPr>
          <w:vertAlign w:val="superscript"/>
        </w:rPr>
        <w:t xml:space="preserve">10</w:t>
      </w:r>
      <w:r>
        <w:t xml:space="preserve">; (iii) public deposition of code, outputs, and the operational protocol (Supplementary S2); (iv) full computational reproducibility from open-source software with Zenodo deposition; and (v) deliberate separation of conceptual, statistical, and procedural layers across the FDEP-TP trilogy.</w:t>
      </w:r>
    </w:p>
    <w:p>
      <w:pPr>
        <w:pStyle w:val="BodyText"/>
      </w:pPr>
      <w:r>
        <w:t xml:space="preserve">Six limitations bound the present interpretation.</w:t>
      </w:r>
      <w:r>
        <w:t xml:space="preserve"> </w:t>
      </w:r>
      <w:r>
        <w:rPr>
          <w:b/>
          <w:bCs/>
        </w:rPr>
        <w:t xml:space="preserve">First</w:t>
      </w:r>
      <w:r>
        <w:t xml:space="preserve">, the level of analysis is</w:t>
      </w:r>
      <w:r>
        <w:t xml:space="preserve"> </w:t>
      </w:r>
      <w:r>
        <w:rPr>
          <w:b/>
          <w:bCs/>
        </w:rPr>
        <w:t xml:space="preserve">ecological</w:t>
      </w:r>
      <w:r>
        <w:t xml:space="preserve"> </w:t>
      </w:r>
      <w:r>
        <w:t xml:space="preserve">(cohort-time-arm aggregate data); ecological inferences are vulnerable to between-study confounding</w:t>
      </w:r>
      <w:r>
        <w:rPr>
          <w:vertAlign w:val="superscript"/>
        </w:rPr>
        <w:t xml:space="preserve">11</w:t>
      </w:r>
      <w:r>
        <w:t xml:space="preserve">.</w:t>
      </w:r>
      <w:r>
        <w:t xml:space="preserve"> </w:t>
      </w:r>
      <w:r>
        <w:rPr>
          <w:b/>
          <w:bCs/>
        </w:rPr>
        <w:t xml:space="preserve">Second</w:t>
      </w:r>
      <w:r>
        <w:t xml:space="preserve">, the</w:t>
      </w:r>
      <w:r>
        <w:t xml:space="preserve"> </w:t>
      </w:r>
      <w:r>
        <w:rPr>
          <w:b/>
          <w:bCs/>
        </w:rPr>
        <w:t xml:space="preserve">MFPCA panel was restricted to n=350</w:t>
      </w:r>
      <w:r>
        <w:t xml:space="preserve"> </w:t>
      </w:r>
      <w:r>
        <w:t xml:space="preserve">by the smallest-block constraint, excluding T2DM, SG, and RYGBP from the multivariate Pillai contrasts; per-cohort qualitative signatures at n=2,750 remain available.</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 (±0·5 SD sensitivity reassigns ≤ 6·8 %).</w:t>
      </w:r>
      <w:r>
        <w:t xml:space="preserve"> </w:t>
      </w:r>
      <w:r>
        <w:rPr>
          <w:b/>
          <w:bCs/>
        </w:rPr>
        <w:t xml:space="preserve">Fourth</w:t>
      </w:r>
      <w:r>
        <w:t xml:space="preserve">,</w:t>
      </w:r>
      <w:r>
        <w:t xml:space="preserve"> </w:t>
      </w:r>
      <w:r>
        <w:rPr>
          <w:b/>
          <w:bCs/>
        </w:rPr>
        <w:t xml:space="preserve">protocol heterogeneity</w:t>
      </w:r>
      <w:r>
        <w:t xml:space="preserve"> </w:t>
      </w:r>
      <w:r>
        <w:t xml:space="preserve">is treated as structural caveat; Supplementary S2 specifies the acquisition protocol that prospective studies should follow.</w:t>
      </w:r>
      <w:r>
        <w:t xml:space="preserve"> </w:t>
      </w:r>
      <w:r>
        <w:rPr>
          <w:b/>
          <w:bCs/>
        </w:rPr>
        <w:t xml:space="preserve">Fifth</w:t>
      </w:r>
      <w:r>
        <w:t xml:space="preserve">, the framework is</w:t>
      </w:r>
      <w:r>
        <w:t xml:space="preserve"> </w:t>
      </w:r>
      <w:r>
        <w:rPr>
          <w:b/>
          <w:bCs/>
        </w:rPr>
        <w:t xml:space="preserve">agnostic to circadian phase</w:t>
      </w:r>
      <w:r>
        <w:t xml:space="preserve"> </w:t>
      </w:r>
      <w:r>
        <w:t xml:space="preserve">and continuous glucose monitoring; both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drive 23·1 % not-classifiable in the reference cohort (150 pseudo-subjects below the two-non-glucose-axis minimum); missing analytes were not imputed by design.</w:t>
      </w:r>
    </w:p>
    <w:bookmarkEnd w:id="35"/>
    <w:bookmarkStart w:id="36" w:name="implications-for-research-and-practice"/>
    <w:p>
      <w:pPr>
        <w:pStyle w:val="Heading2"/>
      </w:pPr>
      <w:r>
        <w:t xml:space="preserve">Implications for research and practice</w:t>
      </w:r>
    </w:p>
    <w:p>
      <w:pPr>
        <w:pStyle w:val="FirstParagraph"/>
      </w:pPr>
      <w:r>
        <w:t xml:space="preserve">Three implications follow.</w:t>
      </w:r>
      <w:r>
        <w:t xml:space="preserve"> </w:t>
      </w:r>
      <w:r>
        <w:rPr>
          <w:b/>
          <w:bCs/>
        </w:rPr>
        <w:t xml:space="preserve">For research</w:t>
      </w:r>
      <w:r>
        <w:t xml:space="preserve">: the PTP/IEP framework opens a concrete TRIPOD+AI</w:t>
      </w:r>
      <w:r>
        <w:rPr>
          <w:vertAlign w:val="superscript"/>
        </w:rPr>
        <w:t xml:space="preserve">9</w:t>
      </w:r>
      <w:r>
        <w:t xml:space="preserve"> </w:t>
      </w:r>
      <w:r>
        <w:t xml:space="preserve">prospective validation line. A multi-centre cohort acquiring the eleven-analyte panel under the Supplementary S2 acquisition protocol can refit reference percentiles, evaluate Type stability under cohort-validated thresholds, and report individual-participant outcome calibration.</w:t>
      </w:r>
      <w:r>
        <w:t xml:space="preserve"> </w:t>
      </w:r>
      <w:r>
        <w:rPr>
          <w:b/>
          <w:bCs/>
        </w:rPr>
        <w:t xml:space="preserve">For pharmacological practice</w:t>
      </w:r>
      <w:r>
        <w:t xml:space="preserve">: triple-receptor agonists</w:t>
      </w:r>
      <w:r>
        <w:rPr>
          <w:vertAlign w:val="superscript"/>
        </w:rPr>
        <w:t xml:space="preserve">8</w:t>
      </w:r>
      <w:r>
        <w:t xml:space="preserve"> </w:t>
      </w:r>
      <w:r>
        <w:t xml:space="preserve">motivate a</w:t>
      </w:r>
      <w:r>
        <w:t xml:space="preserve"> </w:t>
      </w:r>
      <w:r>
        <w:t xml:space="preserve">“Tipo VI”</w:t>
      </w:r>
      <w:r>
        <w:t xml:space="preserve"> </w:t>
      </w:r>
      <w:r>
        <w:t xml:space="preserve">extension of the framework for combined glucagon-receptor activation; the present infrastructure supports this extension at the per-analyte input layer.</w:t>
      </w:r>
      <w:r>
        <w:t xml:space="preserve"> </w:t>
      </w:r>
      <w:r>
        <w:rPr>
          <w:b/>
          <w:bCs/>
        </w:rPr>
        <w:t xml:space="preserve">For surgical practice</w:t>
      </w:r>
      <w:r>
        <w:t xml:space="preserve">: the bariatric-dominant Type V signature aligns with the 2025 Lancet D&amp;E commission on metabolic surgery</w:t>
      </w:r>
      <w:r>
        <w:rPr>
          <w:vertAlign w:val="superscript"/>
        </w:rPr>
        <w:t xml:space="preserve">5</w:t>
      </w:r>
      <w:r>
        <w:t xml:space="preserve"> </w:t>
      </w:r>
      <w:r>
        <w:t xml:space="preserve">and the Lobato 2025 framework</w:t>
      </w:r>
      <w:r>
        <w:rPr>
          <w:b/>
          <w:bCs/>
          <w:vertAlign w:val="superscript"/>
        </w:rPr>
        <w:t xml:space="preserve">Lobato2025?</w:t>
      </w:r>
      <w:r>
        <w:t xml:space="preserve"> </w:t>
      </w:r>
      <w:r>
        <w:t xml:space="preserve">in framing RYGBP and SG as procedures that produce a continuous Type-axis displacement rather than a binary surgical category. The clinical-decision implications of CGM-augmented periprandial phenotyping remain open future work.</w:t>
      </w:r>
    </w:p>
    <w:bookmarkEnd w:id="36"/>
    <w:bookmarkStart w:id="37" w:name="conclusion"/>
    <w:p>
      <w:pPr>
        <w:pStyle w:val="Heading2"/>
      </w:pPr>
      <w:r>
        <w:t xml:space="preserve">Conclusion</w:t>
      </w:r>
    </w:p>
    <w:p>
      <w:pPr>
        <w:pStyle w:val="FirstParagraph"/>
      </w:pPr>
      <w:r>
        <w:t xml:space="preserve">The PTP/IEP classification framework operationalises multi-hormonal periprandial phenotyping as an interpretable layer between the joint mFPC eigenstructure and clinical decision support. The proposed algorithm, including the agonist-selection ladder and the metabolic-surgery indication keyed on Type V with glycaemic context, is hypothesis-generating: percentile thresholds were derived from cohort-level aggregate data and require prospective TRIPOD+AI individual-participant validation before clinical translation.</w:t>
      </w:r>
    </w:p>
    <w:p>
      <w:r>
        <w:pict>
          <v:rect style="width:0;height:1.5pt" o:hralign="center" o:hrstd="t" o:hr="t"/>
        </w:pict>
      </w:r>
    </w:p>
    <w:bookmarkEnd w:id="37"/>
    <w:bookmarkEnd w:id="38"/>
    <w:bookmarkStart w:id="39" w:name="contributors"/>
    <w:p>
      <w:pPr>
        <w:pStyle w:val="Heading1"/>
      </w:pPr>
      <w:r>
        <w:t xml:space="preserve">Contributors</w:t>
      </w:r>
    </w:p>
    <w:p>
      <w:pPr>
        <w:pStyle w:val="FirstParagraph"/>
      </w:pPr>
      <w:r>
        <w:t xml:space="preserve">HMVA conceived the PTP/IEP classification framework, derived the eight-rule precedence hierarchy, implemented the analytic pipeline, performed the empirical evaluation, designed the clinical-decision algorithm, drafted the manuscript, and approved the final version.</w:t>
      </w:r>
    </w:p>
    <w:bookmarkEnd w:id="39"/>
    <w:bookmarkStart w:id="40"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40"/>
    <w:bookmarkStart w:id="41"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article-specific version DOIs cited in each manuscript) and GitHub (</w:t>
      </w:r>
      <w:r>
        <w:rPr>
          <w:rStyle w:val="VerbatimChar"/>
        </w:rPr>
        <w:t xml:space="preserve">sv8wmxnbp8-hash/EPP10</w:t>
      </w:r>
      <w:r>
        <w:t xml:space="preserve"> </w:t>
      </w:r>
      <w:r>
        <w:t xml:space="preserve">v1·4 and subsequent branches) under CC-BY 4·0. The repository permits full reproduction of every numerical claim and follows FAIR data principles. The acquisition protocol that prospective validation studies should follow is published as Supplementary S2 of the present article. Pre-registration is at the Open Science Framework (DOI 10.17605/OSF.IO/3CZRE; project at https://osf.io/tr469, frozen 2026-04-22).</w:t>
      </w:r>
    </w:p>
    <w:bookmarkEnd w:id="41"/>
    <w:bookmarkStart w:id="42"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42"/>
    <w:bookmarkStart w:id="43"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 and the authors of the bariatric, pharmacological, and entero-pancreatic literature cited above, whose mechanistic descriptions anchor the operational classification offered here.</w:t>
      </w:r>
    </w:p>
    <w:p>
      <w:r>
        <w:pict>
          <v:rect style="width:0;height:1.5pt" o:hralign="center" o:hrstd="t" o:hr="t"/>
        </w:pict>
      </w:r>
    </w:p>
    <w:bookmarkEnd w:id="43"/>
    <w:bookmarkStart w:id="56" w:name="references"/>
    <w:p>
      <w:pPr>
        <w:pStyle w:val="Heading1"/>
      </w:pPr>
      <w:r>
        <w:t xml:space="preserve">References</w:t>
      </w:r>
    </w:p>
    <w:bookmarkStart w:id="55" w:name="refs"/>
    <w:bookmarkStart w:id="44" w:name="ref-Ahlqvist2018"/>
    <w:p>
      <w:pPr>
        <w:pStyle w:val="Bibliography"/>
      </w:pPr>
      <w:r>
        <w:t xml:space="preserve">1</w:t>
      </w:r>
      <w:r>
        <w:t xml:space="preserve"> </w:t>
      </w:r>
      <w:r>
        <w:t xml:space="preserve">	</w:t>
      </w:r>
      <w:r>
        <w:t xml:space="preserve">Ahlqvist E, Storm P, Kär̈äjämäki A,</w:t>
      </w:r>
      <w:r>
        <w:t xml:space="preserve"> </w:t>
      </w:r>
      <w:r>
        <w:rPr>
          <w:i/>
          <w:iCs/>
        </w:rPr>
        <w:t xml:space="preserve">et al.</w:t>
      </w:r>
      <w:r>
        <w:t xml:space="preserve"> Novel subgroups of adult-onset diabetes and their association with outcomes: A data-driven cluster analysis of six variables.</w:t>
      </w:r>
      <w:r>
        <w:t xml:space="preserve"> </w:t>
      </w:r>
      <w:r>
        <w:rPr>
          <w:i/>
          <w:iCs/>
        </w:rPr>
        <w:t xml:space="preserve">Lancet Diabetes &amp; Endocrinology</w:t>
      </w:r>
      <w:r>
        <w:t xml:space="preserve"> </w:t>
      </w:r>
      <w:r>
        <w:t xml:space="preserve">2018;</w:t>
      </w:r>
      <w:r>
        <w:t xml:space="preserve"> </w:t>
      </w:r>
      <w:r>
        <w:rPr>
          <w:b/>
          <w:bCs/>
        </w:rPr>
        <w:t xml:space="preserve">6</w:t>
      </w:r>
      <w:r>
        <w:t xml:space="preserve">: 361–9.</w:t>
      </w:r>
    </w:p>
    <w:bookmarkEnd w:id="44"/>
    <w:bookmarkStart w:id="45" w:name="ref-Udler2018"/>
    <w:p>
      <w:pPr>
        <w:pStyle w:val="Bibliography"/>
      </w:pPr>
      <w:r>
        <w:t xml:space="preserve">2</w:t>
      </w:r>
      <w:r>
        <w:t xml:space="preserve"> </w:t>
      </w:r>
      <w:r>
        <w:t xml:space="preserve">	</w:t>
      </w:r>
      <w:r>
        <w:t xml:space="preserve">Udler MS</w:t>
      </w:r>
      <w:r>
        <w:t xml:space="preserve"> </w:t>
      </w:r>
      <w:r>
        <w:rPr>
          <w:i/>
          <w:iCs/>
        </w:rPr>
        <w:t xml:space="preserve">et al.</w:t>
      </w:r>
      <w:r>
        <w:t xml:space="preserve"> Type 2 diabetes genetic loci informed by multi-trait associations point to disease mechanisms and subtypes: A soft clustering analysis.</w:t>
      </w:r>
      <w:r>
        <w:t xml:space="preserve"> </w:t>
      </w:r>
      <w:r>
        <w:rPr>
          <w:i/>
          <w:iCs/>
        </w:rPr>
        <w:t xml:space="preserve">PLoS Medicine</w:t>
      </w:r>
      <w:r>
        <w:t xml:space="preserve"> </w:t>
      </w:r>
      <w:r>
        <w:t xml:space="preserve">2018;</w:t>
      </w:r>
      <w:r>
        <w:t xml:space="preserve"> </w:t>
      </w:r>
      <w:r>
        <w:rPr>
          <w:b/>
          <w:bCs/>
        </w:rPr>
        <w:t xml:space="preserve">15</w:t>
      </w:r>
      <w:r>
        <w:t xml:space="preserve">: e1002654.</w:t>
      </w:r>
    </w:p>
    <w:bookmarkEnd w:id="45"/>
    <w:bookmarkStart w:id="46" w:name="ref-Wagner2021"/>
    <w:p>
      <w:pPr>
        <w:pStyle w:val="Bibliography"/>
      </w:pPr>
      <w:r>
        <w:t xml:space="preserve">3</w:t>
      </w:r>
      <w:r>
        <w:t xml:space="preserve"> </w:t>
      </w:r>
      <w:r>
        <w:t xml:space="preserve">	</w:t>
      </w:r>
      <w:r>
        <w:t xml:space="preserve">Wagner R, Heni M, Tabak AG,</w:t>
      </w:r>
      <w:r>
        <w:t xml:space="preserve"> </w:t>
      </w:r>
      <w:r>
        <w:rPr>
          <w:i/>
          <w:iCs/>
        </w:rPr>
        <w:t xml:space="preserve">et al.</w:t>
      </w:r>
      <w:r>
        <w:t xml:space="preserve"> Pathophysiology-based subphenotyping of individuals at elevated risk for type 2 diabetes.</w:t>
      </w:r>
      <w:r>
        <w:t xml:space="preserve"> </w:t>
      </w:r>
      <w:r>
        <w:rPr>
          <w:i/>
          <w:iCs/>
        </w:rPr>
        <w:t xml:space="preserve">Nature Medicine</w:t>
      </w:r>
      <w:r>
        <w:t xml:space="preserve"> </w:t>
      </w:r>
      <w:r>
        <w:t xml:space="preserve">2021;</w:t>
      </w:r>
      <w:r>
        <w:t xml:space="preserve"> </w:t>
      </w:r>
      <w:r>
        <w:rPr>
          <w:b/>
          <w:bCs/>
        </w:rPr>
        <w:t xml:space="preserve">27</w:t>
      </w:r>
      <w:r>
        <w:t xml:space="preserve">: 49–57.</w:t>
      </w:r>
    </w:p>
    <w:bookmarkEnd w:id="46"/>
    <w:bookmarkStart w:id="47" w:name="ref-Madsbad2014"/>
    <w:p>
      <w:pPr>
        <w:pStyle w:val="Bibliography"/>
      </w:pPr>
      <w:r>
        <w:t xml:space="preserve">4</w:t>
      </w:r>
      <w:r>
        <w:t xml:space="preserve"> </w:t>
      </w:r>
      <w:r>
        <w:t xml:space="preserve">	</w:t>
      </w:r>
      <w:r>
        <w:t xml:space="preserve">Madsbad S, Dirksen C, Holst JJ. Mechanisms of changes in glucose metabolism and bodyweight after bariatric surgery.</w:t>
      </w:r>
      <w:r>
        <w:t xml:space="preserve"> </w:t>
      </w:r>
      <w:r>
        <w:rPr>
          <w:i/>
          <w:iCs/>
        </w:rPr>
        <w:t xml:space="preserve">Lancet Diabetes &amp; Endocrinology</w:t>
      </w:r>
      <w:r>
        <w:t xml:space="preserve"> </w:t>
      </w:r>
      <w:r>
        <w:t xml:space="preserve">2014;</w:t>
      </w:r>
      <w:r>
        <w:t xml:space="preserve"> </w:t>
      </w:r>
      <w:r>
        <w:rPr>
          <w:b/>
          <w:bCs/>
        </w:rPr>
        <w:t xml:space="preserve">2</w:t>
      </w:r>
      <w:r>
        <w:t xml:space="preserve">: 152–64.</w:t>
      </w:r>
    </w:p>
    <w:bookmarkEnd w:id="47"/>
    <w:bookmarkStart w:id="48" w:name="ref-Rubino2025"/>
    <w:p>
      <w:pPr>
        <w:pStyle w:val="Bibliography"/>
      </w:pPr>
      <w:r>
        <w:t xml:space="preserve">5</w:t>
      </w:r>
      <w:r>
        <w:t xml:space="preserve"> </w:t>
      </w:r>
      <w:r>
        <w:t xml:space="preserve">	</w:t>
      </w:r>
      <w:r>
        <w:t xml:space="preserve">Rubino F</w:t>
      </w:r>
      <w:r>
        <w:t xml:space="preserve"> </w:t>
      </w:r>
      <w:r>
        <w:rPr>
          <w:i/>
          <w:iCs/>
        </w:rPr>
        <w:t xml:space="preserve">et al.</w:t>
      </w:r>
      <w:r>
        <w:t xml:space="preserve"> Definition and diagnostic criteria of clinical obesity.</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48"/>
    <w:bookmarkStart w:id="49" w:name="ref-Frias2021SURPASS2"/>
    <w:p>
      <w:pPr>
        <w:pStyle w:val="Bibliography"/>
      </w:pPr>
      <w:r>
        <w:t xml:space="preserve">6</w:t>
      </w:r>
      <w:r>
        <w:t xml:space="preserve"> </w:t>
      </w:r>
      <w:r>
        <w:t xml:space="preserve">	</w:t>
      </w:r>
      <w:r>
        <w:t xml:space="preserve">Frías JP, Davies MJ, Rosenstock J,</w:t>
      </w:r>
      <w:r>
        <w:t xml:space="preserve"> </w:t>
      </w:r>
      <w:r>
        <w:rPr>
          <w:i/>
          <w:iCs/>
        </w:rPr>
        <w:t xml:space="preserve">et al.</w:t>
      </w:r>
      <w:r>
        <w:t xml:space="preserve"> Tirzepatide versus semaglutide once weekly in patients with type 2 diabetes (SURPASS-2).</w:t>
      </w:r>
      <w:r>
        <w:t xml:space="preserve"> </w:t>
      </w:r>
      <w:r>
        <w:rPr>
          <w:i/>
          <w:iCs/>
        </w:rPr>
        <w:t xml:space="preserve">New England Journal of Medicine</w:t>
      </w:r>
      <w:r>
        <w:t xml:space="preserve"> </w:t>
      </w:r>
      <w:r>
        <w:t xml:space="preserve">2021;</w:t>
      </w:r>
      <w:r>
        <w:t xml:space="preserve"> </w:t>
      </w:r>
      <w:r>
        <w:rPr>
          <w:b/>
          <w:bCs/>
        </w:rPr>
        <w:t xml:space="preserve">385</w:t>
      </w:r>
      <w:r>
        <w:t xml:space="preserve">: 503–15.</w:t>
      </w:r>
    </w:p>
    <w:bookmarkEnd w:id="49"/>
    <w:bookmarkStart w:id="50" w:name="ref-Heise2022"/>
    <w:p>
      <w:pPr>
        <w:pStyle w:val="Bibliography"/>
      </w:pPr>
      <w:r>
        <w:t xml:space="preserve">7</w:t>
      </w:r>
      <w:r>
        <w:t xml:space="preserve"> </w:t>
      </w:r>
      <w:r>
        <w:t xml:space="preserve">	</w:t>
      </w:r>
      <w:r>
        <w:t xml:space="preserve">Heise T, Mari A, DeVries JH,</w:t>
      </w:r>
      <w:r>
        <w:t xml:space="preserve"> </w:t>
      </w:r>
      <w:r>
        <w:rPr>
          <w:i/>
          <w:iCs/>
        </w:rPr>
        <w:t xml:space="preserve">et al.</w:t>
      </w:r>
      <w:r>
        <w:t xml:space="preserve"> Effects of subcutaneous tirzepatide versus placebo or semaglutide on pancreatic islet function and insulin sensitivity in adults with type 2 diabetes.</w:t>
      </w:r>
      <w:r>
        <w:t xml:space="preserve"> </w:t>
      </w:r>
      <w:r>
        <w:rPr>
          <w:i/>
          <w:iCs/>
        </w:rPr>
        <w:t xml:space="preserve">Lancet Diabetes &amp; Endocrinology</w:t>
      </w:r>
      <w:r>
        <w:t xml:space="preserve"> </w:t>
      </w:r>
      <w:r>
        <w:t xml:space="preserve">2022;</w:t>
      </w:r>
      <w:r>
        <w:t xml:space="preserve"> </w:t>
      </w:r>
      <w:r>
        <w:rPr>
          <w:b/>
          <w:bCs/>
        </w:rPr>
        <w:t xml:space="preserve">10</w:t>
      </w:r>
      <w:r>
        <w:t xml:space="preserve">: 418–29.</w:t>
      </w:r>
    </w:p>
    <w:bookmarkEnd w:id="50"/>
    <w:bookmarkStart w:id="51" w:name="ref-Rosenstock2023Retatrutide"/>
    <w:p>
      <w:pPr>
        <w:pStyle w:val="Bibliography"/>
      </w:pPr>
      <w:r>
        <w:t xml:space="preserve">8</w:t>
      </w:r>
      <w:r>
        <w:t xml:space="preserve"> </w:t>
      </w:r>
      <w:r>
        <w:t xml:space="preserve">	</w:t>
      </w:r>
      <w:r>
        <w:t xml:space="preserve">Rosenstock J, Frias JP, Jástreboff AM,</w:t>
      </w:r>
      <w:r>
        <w:t xml:space="preserve"> </w:t>
      </w:r>
      <w:r>
        <w:rPr>
          <w:i/>
          <w:iCs/>
        </w:rPr>
        <w:t xml:space="preserve">et al.</w:t>
      </w:r>
      <w:r>
        <w:t xml:space="preserve"> Retatrutide, a triple agonist of GLP-1, GIP, and glucagon receptors, in obesity.</w:t>
      </w:r>
      <w:r>
        <w:t xml:space="preserve"> </w:t>
      </w:r>
      <w:r>
        <w:rPr>
          <w:i/>
          <w:iCs/>
        </w:rPr>
        <w:t xml:space="preserve">New England Journal of Medicine</w:t>
      </w:r>
      <w:r>
        <w:t xml:space="preserve"> </w:t>
      </w:r>
      <w:r>
        <w:t xml:space="preserve">2023;</w:t>
      </w:r>
      <w:r>
        <w:t xml:space="preserve"> </w:t>
      </w:r>
      <w:r>
        <w:rPr>
          <w:b/>
          <w:bCs/>
        </w:rPr>
        <w:t xml:space="preserve">389</w:t>
      </w:r>
      <w:r>
        <w:t xml:space="preserve">: 514–26.</w:t>
      </w:r>
    </w:p>
    <w:bookmarkEnd w:id="51"/>
    <w:bookmarkStart w:id="52" w:name="ref-Collins2024TRIPOD"/>
    <w:p>
      <w:pPr>
        <w:pStyle w:val="Bibliography"/>
      </w:pPr>
      <w:r>
        <w:t xml:space="preserve">9</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52"/>
    <w:bookmarkStart w:id="53" w:name="ref-HappGreven2018"/>
    <w:p>
      <w:pPr>
        <w:pStyle w:val="Bibliography"/>
      </w:pPr>
      <w:r>
        <w:t xml:space="preserve">10</w:t>
      </w:r>
      <w:r>
        <w:t xml:space="preserve"> </w:t>
      </w:r>
      <w:r>
        <w:t xml:space="preserve">	</w:t>
      </w:r>
      <w:r>
        <w:t xml:space="preserve">Happ C, Greven S. Multivariate functional principal component analysis for data observed on different (dimensional) domains.</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53"/>
    <w:bookmarkStart w:id="54" w:name="ref-Robinson1950"/>
    <w:p>
      <w:pPr>
        <w:pStyle w:val="Bibliography"/>
      </w:pPr>
      <w:r>
        <w:t xml:space="preserve">11</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54"/>
    <w:bookmarkEnd w:id="55"/>
    <w:p>
      <w:r>
        <w:pict>
          <v:rect style="width:0;height:1.5pt" o:hralign="center" o:hrstd="t" o:hr="t"/>
        </w:pict>
      </w:r>
    </w:p>
    <w:bookmarkEnd w:id="56"/>
    <w:bookmarkStart w:id="57" w:name="display-item-captions"/>
    <w:p>
      <w:pPr>
        <w:pStyle w:val="Heading1"/>
      </w:pPr>
      <w:r>
        <w:t xml:space="preserve">Display item captions</w:t>
      </w:r>
    </w:p>
    <w:p>
      <w:pPr>
        <w:pStyle w:val="FirstParagraph"/>
      </w:pPr>
      <w:r>
        <w:rPr>
          <w:b/>
          <w:bCs/>
        </w:rPr>
        <w:t xml:space="preserve">DI1 — Periprandial trajectory acquisition protocol.</w:t>
      </w:r>
      <w:r>
        <w:t xml:space="preserve"> </w:t>
      </w:r>
      <w:r>
        <w:t xml:space="preserve">Top panel: the standardised periprandial sampling grid {0, 15, 30, 60, 90, 120, 130, 150, 180} min after a mixed-meal tolerance test, liquid mixed-meal test, or 75 g oral glucose tolerance test, with stylised proximal (GIP active), distal (GLP-1 active, PYY total), and gastric (ghrelin total) trajectories. Bottom panel: the eleven-analyte panel composition; nine analyte forms enter the joint Happ–Greven operator, and glucose plus insulin enter the per-analyte PTP layer only.</w:t>
      </w:r>
    </w:p>
    <w:p>
      <w:pPr>
        <w:pStyle w:val="BodyText"/>
      </w:pPr>
      <w:r>
        <w:rPr>
          <w:b/>
          <w:bCs/>
        </w:rPr>
        <w:t xml:space="preserve">DI2 — Computational pipeline (16 R scripts in 5 layers).</w:t>
      </w:r>
      <w:r>
        <w:t xml:space="preserve"> </w:t>
      </w:r>
      <w:r>
        <w:t xml:space="preserve">Layer 1 — ingest and harmonisation; Layer 2 — pseudo-IPD AR(1) Gaussian-process generation; Layer 3 — FACEs primary estimation, Happ–Greven joint operator with Chiou normalisation, SRSF phase-amplitude registration; Layer 4 — PTP nine-label classification and IEP Type aggregation with permutation q-values; Layer 5 — Pillai/FANOVA inference, Mahalanobis distances, simultaneous bootstrap bands, four pre-specified sensitivities, and the article-specific A3 figures (this script).</w:t>
      </w:r>
    </w:p>
    <w:p>
      <w:pPr>
        <w:pStyle w:val="BodyText"/>
      </w:pPr>
      <w:r>
        <w:rPr>
          <w:b/>
          <w:bCs/>
        </w:rPr>
        <w:t xml:space="preserve">DI3 — Integrated Enteropancreatic Pattern Type prevalence by cohort.</w:t>
      </w:r>
      <w:r>
        <w:t xml:space="preserve"> </w:t>
      </w:r>
      <w:r>
        <w:t xml:space="preserve">Stacked-bar within-cohort prevalence of Types I·I (preserved), III (infra-physiological), IV (altered), V (enhanced–mixed), and not-classifiable across the seven canonical cohorts. Asterisks mark Bonferroni-adjusted permutation q ≤ 0·05 from</w:t>
      </w:r>
      <w:r>
        <w:t xml:space="preserve"> </w:t>
      </w:r>
      <w:r>
        <w:rPr>
          <w:rStyle w:val="VerbatimChar"/>
        </w:rPr>
        <w:t xml:space="preserve">iep_prevalence_perm.csv</w:t>
      </w:r>
      <w:r>
        <w:t xml:space="preserve"> </w:t>
      </w:r>
      <w:r>
        <w:t xml:space="preserve">(lancet_run_2026-05-08): RYGBP Type V (43·3 %), SG Type V (30·7 %), Obesity+T2DM Type III (40·0 %), Post-CR Type III (36·8 %), Obesity Type I·I (32·2 %).</w:t>
      </w:r>
    </w:p>
    <w:p>
      <w:pPr>
        <w:pStyle w:val="BodyText"/>
      </w:pPr>
      <w:r>
        <w:rPr>
          <w:b/>
          <w:bCs/>
        </w:rPr>
        <w:t xml:space="preserve">DI4 — Clinical-decision tree.</w:t>
      </w:r>
      <w:r>
        <w:t xml:space="preserve"> </w:t>
      </w:r>
      <w:r>
        <w:t xml:space="preserve">Three-step algorithm: (1) compute per-analyte PTP nine-label vector; (2) aggregate to Integrated Type via the eight-rule precedence; (3) attach the glycaemic-context suffix a/b/c. The action layer keys lifestyle support (Type I·I or II), receptor-agonist selection across single, dual, and triple receptors (Type III;</w:t>
      </w:r>
      <w:r>
        <w:t xml:space="preserve"> </w:t>
      </w:r>
      <w:r>
        <w:t xml:space="preserve">“Tipo VI”</w:t>
      </w:r>
      <w:r>
        <w:t xml:space="preserve"> </w:t>
      </w:r>
      <w:r>
        <w:t xml:space="preserve">extension for retatrutide), individualised mechanism-driven workup (Type IV), and metabolic-surgery indication per the 2025 Lancet D&amp;E clinical-obesity commission (Type V with glucose dysglycaemia). The algorithm is hypothesis-generating and awaits prospective TRIPOD+AI individual-participant validation.</w:t>
      </w:r>
    </w:p>
    <w:p>
      <w:r>
        <w:pict>
          <v:rect style="width:0;height:1.5pt" o:hralign="center" o:hrstd="t" o:hr="t"/>
        </w:pict>
      </w:r>
    </w:p>
    <w:bookmarkEnd w:id="57"/>
    <w:bookmarkStart w:id="62" w:name="tables"/>
    <w:p>
      <w:pPr>
        <w:pStyle w:val="Heading1"/>
      </w:pPr>
      <w:r>
        <w:t xml:space="preserve">Tables</w:t>
      </w:r>
    </w:p>
    <w:bookmarkStart w:id="58"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pPr>
            <w:r>
              <w:t xml:space="preserve">Reference adequacy (n_ref ≥ 8 per analyte)</w:t>
            </w:r>
          </w:p>
        </w:tc>
      </w:tr>
      <w:tr>
        <w:tc>
          <w:tcPr/>
          <w:p>
            <w:pPr>
              <w:pStyle w:val="Compac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pPr>
            <w:r>
              <w:t xml:space="preserve">Complete (9/9 analytes)</w:t>
            </w:r>
          </w:p>
        </w:tc>
      </w:tr>
      <w:tr>
        <w:tc>
          <w:tcPr/>
          <w:p>
            <w:pPr>
              <w:pStyle w:val="Compac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pPr>
            <w:r>
              <w:t xml:space="preserve">n.a.</w:t>
            </w:r>
          </w:p>
        </w:tc>
      </w:tr>
      <w:tr>
        <w:tc>
          <w:tcPr/>
          <w:p>
            <w:pPr>
              <w:pStyle w:val="Compac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pPr>
            <w:r>
              <w:t xml:space="preserve">n.a.</w:t>
            </w:r>
          </w:p>
        </w:tc>
      </w:tr>
      <w:tr>
        <w:tc>
          <w:tcPr/>
          <w:p>
            <w:pPr>
              <w:pStyle w:val="Compac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pPr>
            <w:r>
              <w:t xml:space="preserve">n.a.</w:t>
            </w:r>
          </w:p>
        </w:tc>
      </w:tr>
      <w:tr>
        <w:tc>
          <w:tcPr/>
          <w:p>
            <w:pPr>
              <w:pStyle w:val="Compac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pPr>
            <w:r>
              <w:t xml:space="preserve">n.a.</w:t>
            </w:r>
          </w:p>
        </w:tc>
      </w:tr>
      <w:tr>
        <w:tc>
          <w:tcPr/>
          <w:p>
            <w:pPr>
              <w:pStyle w:val="Compac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pPr>
            <w:r>
              <w:t xml:space="preserve">n.a.</w:t>
            </w:r>
          </w:p>
        </w:tc>
      </w:tr>
      <w:tr>
        <w:tc>
          <w:tcPr/>
          <w:p>
            <w:pPr>
              <w:pStyle w:val="Compac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pPr>
            <w:r>
              <w:t xml:space="preserve">n.a.</w:t>
            </w:r>
          </w:p>
        </w:tc>
      </w:tr>
      <w:tr>
        <w:tc>
          <w:tcPr/>
          <w:p>
            <w:pPr>
              <w:pStyle w:val="Compac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58"/>
    <w:bookmarkStart w:id="59" w:name="X37c4d1852382556bd67776c7ed7da41aedb5a80"/>
    <w:p>
      <w:pPr>
        <w:pStyle w:val="Heading2"/>
      </w:pPr>
      <w:r>
        <w:t xml:space="preserve">Table 2 — Integrated Type I–V prevalence by cohort with Bonferroni-adjusted permutation q-values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jc w:val="right"/>
            </w:pPr>
            <w:r>
              <w:t xml:space="preserve">Type I·I</w:t>
            </w:r>
          </w:p>
        </w:tc>
        <w:tc>
          <w:tcPr/>
          <w:p>
            <w:pPr>
              <w:pStyle w:val="Compact"/>
              <w:jc w:val="right"/>
            </w:pPr>
            <w:r>
              <w:t xml:space="preserve">Type III</w:t>
            </w:r>
          </w:p>
        </w:tc>
        <w:tc>
          <w:tcPr/>
          <w:p>
            <w:pPr>
              <w:pStyle w:val="Compact"/>
              <w:jc w:val="right"/>
            </w:pPr>
            <w:r>
              <w:t xml:space="preserve">Type IV</w:t>
            </w:r>
          </w:p>
        </w:tc>
        <w:tc>
          <w:tcPr/>
          <w:p>
            <w:pPr>
              <w:pStyle w:val="Compact"/>
              <w:jc w:val="right"/>
            </w:pPr>
            <w:r>
              <w:t xml:space="preserve">Type V</w:t>
            </w:r>
          </w:p>
        </w:tc>
        <w:tc>
          <w:tcPr/>
          <w:p>
            <w:pPr>
              <w:pStyle w:val="Compact"/>
              <w:jc w:val="right"/>
            </w:pPr>
            <w:r>
              <w:t xml:space="preserve">Not-classifiable</w:t>
            </w:r>
          </w:p>
        </w:tc>
      </w:tr>
      <w:tr>
        <w:tc>
          <w:tcPr/>
          <w:p>
            <w:pPr>
              <w:pStyle w:val="Compact"/>
            </w:pPr>
            <w:r>
              <w:t xml:space="preserve">Non-obese without T2D (reference)</w:t>
            </w:r>
          </w:p>
        </w:tc>
        <w:tc>
          <w:tcPr/>
          <w:p>
            <w:pPr>
              <w:pStyle w:val="Compact"/>
              <w:jc w:val="right"/>
            </w:pPr>
            <w:r>
              <w:rPr>
                <w:b/>
                <w:bCs/>
              </w:rPr>
              <w:t xml:space="preserve">32·2 %</w:t>
            </w:r>
            <w:r>
              <w:t xml:space="preserve"> </w:t>
            </w:r>
            <w:r>
              <w:t xml:space="preserve">(q=0·035)</w:t>
            </w:r>
          </w:p>
        </w:tc>
        <w:tc>
          <w:tcPr/>
          <w:p>
            <w:pPr>
              <w:pStyle w:val="Compact"/>
              <w:jc w:val="right"/>
            </w:pPr>
            <w:r>
              <w:t xml:space="preserve">18·0 %</w:t>
            </w:r>
          </w:p>
        </w:tc>
        <w:tc>
          <w:tcPr/>
          <w:p>
            <w:pPr>
              <w:pStyle w:val="Compact"/>
              <w:jc w:val="right"/>
            </w:pPr>
            <w:r>
              <w:t xml:space="preserve">13·8 %</w:t>
            </w:r>
          </w:p>
        </w:tc>
        <w:tc>
          <w:tcPr/>
          <w:p>
            <w:pPr>
              <w:pStyle w:val="Compact"/>
              <w:jc w:val="right"/>
            </w:pPr>
            <w:r>
              <w:t xml:space="preserve">18·8 %</w:t>
            </w:r>
          </w:p>
        </w:tc>
        <w:tc>
          <w:tcPr/>
          <w:p>
            <w:pPr>
              <w:pStyle w:val="Compact"/>
              <w:jc w:val="right"/>
            </w:pPr>
            <w:r>
              <w:t xml:space="preserve">23·1 % (structural)</w:t>
            </w:r>
          </w:p>
        </w:tc>
      </w:tr>
      <w:tr>
        <w:tc>
          <w:tcPr/>
          <w:p>
            <w:pPr>
              <w:pStyle w:val="Compact"/>
            </w:pPr>
            <w:r>
              <w:t xml:space="preserve">Obesity</w:t>
            </w:r>
          </w:p>
        </w:tc>
        <w:tc>
          <w:tcPr/>
          <w:p>
            <w:pPr>
              <w:pStyle w:val="Compact"/>
              <w:jc w:val="right"/>
            </w:pPr>
            <w:r>
              <w:rPr>
                <w:b/>
                <w:bCs/>
              </w:rPr>
              <w:t xml:space="preserve">32·2 %</w:t>
            </w:r>
          </w:p>
        </w:tc>
        <w:tc>
          <w:tcPr/>
          <w:p>
            <w:pPr>
              <w:pStyle w:val="Compact"/>
              <w:jc w:val="right"/>
            </w:pPr>
            <w:r>
              <w:t xml:space="preserve">18·3 %</w:t>
            </w:r>
          </w:p>
        </w:tc>
        <w:tc>
          <w:tcPr/>
          <w:p>
            <w:pPr>
              <w:pStyle w:val="Compact"/>
              <w:jc w:val="right"/>
            </w:pPr>
            <w:r>
              <w:t xml:space="preserve">16·5 %</w:t>
            </w:r>
          </w:p>
        </w:tc>
        <w:tc>
          <w:tcPr/>
          <w:p>
            <w:pPr>
              <w:pStyle w:val="Compact"/>
              <w:jc w:val="right"/>
            </w:pPr>
            <w:r>
              <w:t xml:space="preserve">16·3 %</w:t>
            </w:r>
          </w:p>
        </w:tc>
        <w:tc>
          <w:tcPr/>
          <w:p>
            <w:pPr>
              <w:pStyle w:val="Compact"/>
              <w:jc w:val="right"/>
            </w:pPr>
            <w:r>
              <w:t xml:space="preserve">16·7 %</w:t>
            </w:r>
          </w:p>
        </w:tc>
      </w:tr>
      <w:tr>
        <w:tc>
          <w:tcPr/>
          <w:p>
            <w:pPr>
              <w:pStyle w:val="Compact"/>
            </w:pPr>
            <w:r>
              <w:t xml:space="preserve">T2DM (per-analyte only)</w:t>
            </w:r>
          </w:p>
        </w:tc>
        <w:tc>
          <w:tcPr/>
          <w:p>
            <w:pPr>
              <w:pStyle w:val="Compact"/>
              <w:jc w:val="right"/>
            </w:pPr>
            <w:r>
              <w:t xml:space="preserve">16·8 %</w:t>
            </w:r>
          </w:p>
        </w:tc>
        <w:tc>
          <w:tcPr/>
          <w:p>
            <w:pPr>
              <w:pStyle w:val="Compact"/>
              <w:jc w:val="right"/>
            </w:pPr>
            <w:r>
              <w:t xml:space="preserve">29·5 %</w:t>
            </w:r>
          </w:p>
        </w:tc>
        <w:tc>
          <w:tcPr/>
          <w:p>
            <w:pPr>
              <w:pStyle w:val="Compact"/>
              <w:jc w:val="right"/>
            </w:pPr>
            <w:r>
              <w:t xml:space="preserve">21·3 %</w:t>
            </w:r>
          </w:p>
        </w:tc>
        <w:tc>
          <w:tcPr/>
          <w:p>
            <w:pPr>
              <w:pStyle w:val="Compact"/>
              <w:jc w:val="right"/>
            </w:pPr>
            <w:r>
              <w:t xml:space="preserve">17·9 %</w:t>
            </w:r>
          </w:p>
        </w:tc>
        <w:tc>
          <w:tcPr/>
          <w:p>
            <w:pPr>
              <w:pStyle w:val="Compact"/>
              <w:jc w:val="right"/>
            </w:pPr>
            <w:r>
              <w:t xml:space="preserve">14·5 %</w:t>
            </w:r>
          </w:p>
        </w:tc>
      </w:tr>
      <w:tr>
        <w:tc>
          <w:tcPr/>
          <w:p>
            <w:pPr>
              <w:pStyle w:val="Compact"/>
            </w:pPr>
            <w:r>
              <w:t xml:space="preserve">Obesity + T2DM</w:t>
            </w:r>
          </w:p>
        </w:tc>
        <w:tc>
          <w:tcPr/>
          <w:p>
            <w:pPr>
              <w:pStyle w:val="Compact"/>
              <w:jc w:val="right"/>
            </w:pPr>
            <w:r>
              <w:t xml:space="preserve">31·7 %</w:t>
            </w:r>
          </w:p>
        </w:tc>
        <w:tc>
          <w:tcPr/>
          <w:p>
            <w:pPr>
              <w:pStyle w:val="Compact"/>
              <w:jc w:val="right"/>
            </w:pPr>
            <w:r>
              <w:rPr>
                <w:b/>
                <w:bCs/>
              </w:rPr>
              <w:t xml:space="preserve">40·0 %</w:t>
            </w:r>
            <w:r>
              <w:t xml:space="preserve"> </w:t>
            </w:r>
            <w:r>
              <w:t xml:space="preserve">(q=0·035)</w:t>
            </w:r>
          </w:p>
        </w:tc>
        <w:tc>
          <w:tcPr/>
          <w:p>
            <w:pPr>
              <w:pStyle w:val="Compact"/>
              <w:jc w:val="right"/>
            </w:pPr>
            <w:r>
              <w:t xml:space="preserve">10·7 %</w:t>
            </w:r>
          </w:p>
        </w:tc>
        <w:tc>
          <w:tcPr/>
          <w:p>
            <w:pPr>
              <w:pStyle w:val="Compact"/>
              <w:jc w:val="right"/>
            </w:pPr>
            <w:r>
              <w:t xml:space="preserve">17·7 %</w:t>
            </w:r>
          </w:p>
        </w:tc>
        <w:tc>
          <w:tcPr/>
          <w:p>
            <w:pPr>
              <w:pStyle w:val="Compact"/>
              <w:jc w:val="right"/>
            </w:pPr>
            <w:r>
              <w:t xml:space="preserve">0 %</w:t>
            </w:r>
          </w:p>
        </w:tc>
      </w:tr>
      <w:tr>
        <w:tc>
          <w:tcPr/>
          <w:p>
            <w:pPr>
              <w:pStyle w:val="Compact"/>
            </w:pPr>
            <w:r>
              <w:t xml:space="preserve">Caloric restriction (Post-CR)</w:t>
            </w:r>
          </w:p>
        </w:tc>
        <w:tc>
          <w:tcPr/>
          <w:p>
            <w:pPr>
              <w:pStyle w:val="Compact"/>
              <w:jc w:val="right"/>
            </w:pPr>
            <w:r>
              <w:t xml:space="preserve">26·4 %</w:t>
            </w:r>
          </w:p>
        </w:tc>
        <w:tc>
          <w:tcPr/>
          <w:p>
            <w:pPr>
              <w:pStyle w:val="Compact"/>
              <w:jc w:val="right"/>
            </w:pPr>
            <w:r>
              <w:rPr>
                <w:b/>
                <w:bCs/>
              </w:rPr>
              <w:t xml:space="preserve">36·8 %</w:t>
            </w:r>
            <w:r>
              <w:t xml:space="preserve"> </w:t>
            </w:r>
            <w:r>
              <w:t xml:space="preserve">(q=0·035)</w:t>
            </w:r>
          </w:p>
        </w:tc>
        <w:tc>
          <w:tcPr/>
          <w:p>
            <w:pPr>
              <w:pStyle w:val="Compact"/>
              <w:jc w:val="right"/>
            </w:pPr>
            <w:r>
              <w:t xml:space="preserve">9·2 %</w:t>
            </w:r>
          </w:p>
        </w:tc>
        <w:tc>
          <w:tcPr/>
          <w:p>
            <w:pPr>
              <w:pStyle w:val="Compact"/>
              <w:jc w:val="right"/>
            </w:pPr>
            <w:r>
              <w:t xml:space="preserve">7·6 %</w:t>
            </w:r>
          </w:p>
        </w:tc>
        <w:tc>
          <w:tcPr/>
          <w:p>
            <w:pPr>
              <w:pStyle w:val="Compact"/>
              <w:jc w:val="right"/>
            </w:pPr>
            <w:r>
              <w:t xml:space="preserve">20·0 %</w:t>
            </w:r>
          </w:p>
        </w:tc>
      </w:tr>
      <w:tr>
        <w:tc>
          <w:tcPr/>
          <w:p>
            <w:pPr>
              <w:pStyle w:val="Compact"/>
            </w:pPr>
            <w:r>
              <w:t xml:space="preserve">Sleeve gastrectomy (SG)</w:t>
            </w:r>
          </w:p>
        </w:tc>
        <w:tc>
          <w:tcPr/>
          <w:p>
            <w:pPr>
              <w:pStyle w:val="Compact"/>
              <w:jc w:val="right"/>
            </w:pPr>
            <w:r>
              <w:t xml:space="preserve">27·3 %</w:t>
            </w:r>
          </w:p>
        </w:tc>
        <w:tc>
          <w:tcPr/>
          <w:p>
            <w:pPr>
              <w:pStyle w:val="Compact"/>
              <w:jc w:val="right"/>
            </w:pPr>
            <w:r>
              <w:t xml:space="preserve">9·3 %</w:t>
            </w:r>
          </w:p>
        </w:tc>
        <w:tc>
          <w:tcPr/>
          <w:p>
            <w:pPr>
              <w:pStyle w:val="Compact"/>
              <w:jc w:val="right"/>
            </w:pPr>
            <w:r>
              <w:t xml:space="preserve">16·0 %</w:t>
            </w:r>
          </w:p>
        </w:tc>
        <w:tc>
          <w:tcPr/>
          <w:p>
            <w:pPr>
              <w:pStyle w:val="Compact"/>
              <w:jc w:val="right"/>
            </w:pPr>
            <w:r>
              <w:rPr>
                <w:b/>
                <w:bCs/>
              </w:rPr>
              <w:t xml:space="preserve">30·7 %</w:t>
            </w:r>
            <w:r>
              <w:t xml:space="preserve"> </w:t>
            </w:r>
            <w:r>
              <w:t xml:space="preserve">(q=0·035)</w:t>
            </w:r>
          </w:p>
        </w:tc>
        <w:tc>
          <w:tcPr/>
          <w:p>
            <w:pPr>
              <w:pStyle w:val="Compact"/>
              <w:jc w:val="right"/>
            </w:pPr>
            <w:r>
              <w:t xml:space="preserve">16·7 %</w:t>
            </w:r>
          </w:p>
        </w:tc>
      </w:tr>
      <w:tr>
        <w:tc>
          <w:tcPr/>
          <w:p>
            <w:pPr>
              <w:pStyle w:val="Compact"/>
            </w:pPr>
            <w:r>
              <w:t xml:space="preserve">Roux-en-Y gastric bypass (RYGBP)</w:t>
            </w:r>
          </w:p>
        </w:tc>
        <w:tc>
          <w:tcPr/>
          <w:p>
            <w:pPr>
              <w:pStyle w:val="Compact"/>
              <w:jc w:val="right"/>
            </w:pPr>
            <w:r>
              <w:t xml:space="preserve">6·4 %</w:t>
            </w:r>
          </w:p>
        </w:tc>
        <w:tc>
          <w:tcPr/>
          <w:p>
            <w:pPr>
              <w:pStyle w:val="Compact"/>
              <w:jc w:val="right"/>
            </w:pPr>
            <w:r>
              <w:t xml:space="preserve">11·3 %</w:t>
            </w:r>
          </w:p>
        </w:tc>
        <w:tc>
          <w:tcPr/>
          <w:p>
            <w:pPr>
              <w:pStyle w:val="Compact"/>
              <w:jc w:val="right"/>
            </w:pPr>
            <w:r>
              <w:t xml:space="preserve">16·7 %</w:t>
            </w:r>
          </w:p>
        </w:tc>
        <w:tc>
          <w:tcPr/>
          <w:p>
            <w:pPr>
              <w:pStyle w:val="Compact"/>
              <w:jc w:val="right"/>
            </w:pPr>
            <w:r>
              <w:rPr>
                <w:b/>
                <w:bCs/>
              </w:rPr>
              <w:t xml:space="preserve">43·3 %</w:t>
            </w:r>
            <w:r>
              <w:t xml:space="preserve"> </w:t>
            </w:r>
            <w:r>
              <w:t xml:space="preserve">(q=0·035)</w:t>
            </w:r>
          </w:p>
        </w:tc>
        <w:tc>
          <w:tcPr/>
          <w:p>
            <w:pPr>
              <w:pStyle w:val="Compact"/>
              <w:jc w:val="right"/>
            </w:pPr>
            <w:r>
              <w:t xml:space="preserve">22·2 %</w:t>
            </w:r>
          </w:p>
        </w:tc>
      </w:tr>
    </w:tbl>
    <w:p>
      <w:pPr>
        <w:pStyle w:val="BodyText"/>
      </w:pPr>
      <w:r>
        <w:t xml:space="preserve">Source:</w:t>
      </w:r>
      <w:r>
        <w:t xml:space="preserve"> </w:t>
      </w:r>
      <w:r>
        <w:rPr>
          <w:rStyle w:val="VerbatimChar"/>
        </w:rPr>
        <w:t xml:space="preserve">03_outputs/lancet_run_2026-05-08/tables/iep_prevalence_perm.csv</w:t>
      </w:r>
      <w:r>
        <w:t xml:space="preserve">. Bonferroni adjustment over 35 cohort-type tests; bold entries highlight the modal cohort signature.</w:t>
      </w:r>
    </w:p>
    <w:bookmarkEnd w:id="59"/>
    <w:bookmarkStart w:id="60" w:name="Xc8003c387fcf9704a91423c725018859f1a345b"/>
    <w:p>
      <w:pPr>
        <w:pStyle w:val="Heading2"/>
      </w:pPr>
      <w:r>
        <w:t xml:space="preserve">Table 3 — PTP per-analyte distribution (8,050 classifications)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jc w:val="right"/>
            </w:pPr>
            <w:r>
              <w:t xml:space="preserve">Count</w:t>
            </w:r>
          </w:p>
        </w:tc>
        <w:tc>
          <w:tcPr/>
          <w:p>
            <w:pPr>
              <w:pStyle w:val="Compact"/>
              <w:jc w:val="right"/>
            </w:pPr>
            <w:r>
              <w:t xml:space="preserve">Proportion</w:t>
            </w:r>
          </w:p>
        </w:tc>
      </w:tr>
      <w:tr>
        <w:tc>
          <w:tcPr/>
          <w:p>
            <w:pPr>
              <w:pStyle w:val="Compact"/>
            </w:pPr>
            <w:r>
              <w:t xml:space="preserve">Preserved</w:t>
            </w:r>
          </w:p>
        </w:tc>
        <w:tc>
          <w:tcPr/>
          <w:p>
            <w:pPr>
              <w:pStyle w:val="Compact"/>
              <w:jc w:val="right"/>
            </w:pPr>
            <w:r>
              <w:t xml:space="preserve">5,402</w:t>
            </w:r>
          </w:p>
        </w:tc>
        <w:tc>
          <w:tcPr/>
          <w:p>
            <w:pPr>
              <w:pStyle w:val="Compact"/>
              <w:jc w:val="right"/>
            </w:pPr>
            <w:r>
              <w:rPr>
                <w:b/>
                <w:bCs/>
              </w:rPr>
              <w:t xml:space="preserve">67·1 %</w:t>
            </w:r>
          </w:p>
        </w:tc>
      </w:tr>
      <w:tr>
        <w:tc>
          <w:tcPr/>
          <w:p>
            <w:pPr>
              <w:pStyle w:val="Compact"/>
            </w:pPr>
            <w:r>
              <w:t xml:space="preserve">Borderline Impaired</w:t>
            </w:r>
          </w:p>
        </w:tc>
        <w:tc>
          <w:tcPr/>
          <w:p>
            <w:pPr>
              <w:pStyle w:val="Compact"/>
              <w:jc w:val="right"/>
            </w:pPr>
            <w:r>
              <w:t xml:space="preserve">692</w:t>
            </w:r>
          </w:p>
        </w:tc>
        <w:tc>
          <w:tcPr/>
          <w:p>
            <w:pPr>
              <w:pStyle w:val="Compact"/>
              <w:jc w:val="right"/>
            </w:pPr>
            <w:r>
              <w:t xml:space="preserve">8·6 %</w:t>
            </w:r>
          </w:p>
        </w:tc>
      </w:tr>
      <w:tr>
        <w:tc>
          <w:tcPr/>
          <w:p>
            <w:pPr>
              <w:pStyle w:val="Compact"/>
            </w:pPr>
            <w:r>
              <w:t xml:space="preserve">Discordant_Basal</w:t>
            </w:r>
          </w:p>
        </w:tc>
        <w:tc>
          <w:tcPr/>
          <w:p>
            <w:pPr>
              <w:pStyle w:val="Compact"/>
              <w:jc w:val="right"/>
            </w:pPr>
            <w:r>
              <w:t xml:space="preserve">507</w:t>
            </w:r>
          </w:p>
        </w:tc>
        <w:tc>
          <w:tcPr/>
          <w:p>
            <w:pPr>
              <w:pStyle w:val="Compact"/>
              <w:jc w:val="right"/>
            </w:pPr>
            <w:r>
              <w:t xml:space="preserve">6·3 %</w:t>
            </w:r>
          </w:p>
        </w:tc>
      </w:tr>
      <w:tr>
        <w:tc>
          <w:tcPr/>
          <w:p>
            <w:pPr>
              <w:pStyle w:val="Compact"/>
            </w:pPr>
            <w:r>
              <w:t xml:space="preserve">Borderline Altered</w:t>
            </w:r>
          </w:p>
        </w:tc>
        <w:tc>
          <w:tcPr/>
          <w:p>
            <w:pPr>
              <w:pStyle w:val="Compact"/>
              <w:jc w:val="right"/>
            </w:pPr>
            <w:r>
              <w:t xml:space="preserve">467</w:t>
            </w:r>
          </w:p>
        </w:tc>
        <w:tc>
          <w:tcPr/>
          <w:p>
            <w:pPr>
              <w:pStyle w:val="Compact"/>
              <w:jc w:val="right"/>
            </w:pPr>
            <w:r>
              <w:t xml:space="preserve">5·8 %</w:t>
            </w:r>
          </w:p>
        </w:tc>
      </w:tr>
      <w:tr>
        <w:tc>
          <w:tcPr/>
          <w:p>
            <w:pPr>
              <w:pStyle w:val="Compact"/>
            </w:pPr>
            <w:r>
              <w:t xml:space="preserve">Discordant_High</w:t>
            </w:r>
          </w:p>
        </w:tc>
        <w:tc>
          <w:tcPr/>
          <w:p>
            <w:pPr>
              <w:pStyle w:val="Compact"/>
              <w:jc w:val="right"/>
            </w:pPr>
            <w:r>
              <w:t xml:space="preserve">386</w:t>
            </w:r>
          </w:p>
        </w:tc>
        <w:tc>
          <w:tcPr/>
          <w:p>
            <w:pPr>
              <w:pStyle w:val="Compact"/>
              <w:jc w:val="right"/>
            </w:pPr>
            <w:r>
              <w:t xml:space="preserve">4·8 %</w:t>
            </w:r>
          </w:p>
        </w:tc>
      </w:tr>
      <w:tr>
        <w:tc>
          <w:tcPr/>
          <w:p>
            <w:pPr>
              <w:pStyle w:val="Compact"/>
            </w:pPr>
            <w:r>
              <w:t xml:space="preserve">Altered</w:t>
            </w:r>
          </w:p>
        </w:tc>
        <w:tc>
          <w:tcPr/>
          <w:p>
            <w:pPr>
              <w:pStyle w:val="Compact"/>
              <w:jc w:val="right"/>
            </w:pPr>
            <w:r>
              <w:t xml:space="preserve">298</w:t>
            </w:r>
          </w:p>
        </w:tc>
        <w:tc>
          <w:tcPr/>
          <w:p>
            <w:pPr>
              <w:pStyle w:val="Compact"/>
              <w:jc w:val="right"/>
            </w:pPr>
            <w:r>
              <w:t xml:space="preserve">3·7 %</w:t>
            </w:r>
          </w:p>
        </w:tc>
      </w:tr>
      <w:tr>
        <w:tc>
          <w:tcPr/>
          <w:p>
            <w:pPr>
              <w:pStyle w:val="Compact"/>
            </w:pPr>
            <w:r>
              <w:t xml:space="preserve">Impaired</w:t>
            </w:r>
          </w:p>
        </w:tc>
        <w:tc>
          <w:tcPr/>
          <w:p>
            <w:pPr>
              <w:pStyle w:val="Compact"/>
              <w:jc w:val="right"/>
            </w:pPr>
            <w:r>
              <w:t xml:space="preserve">177</w:t>
            </w:r>
          </w:p>
        </w:tc>
        <w:tc>
          <w:tcPr/>
          <w:p>
            <w:pPr>
              <w:pStyle w:val="Compact"/>
              <w:jc w:val="right"/>
            </w:pPr>
            <w:r>
              <w:t xml:space="preserve">2·2 %</w:t>
            </w:r>
          </w:p>
        </w:tc>
      </w:tr>
      <w:tr>
        <w:tc>
          <w:tcPr/>
          <w:p>
            <w:pPr>
              <w:pStyle w:val="Compact"/>
            </w:pPr>
            <w:r>
              <w:t xml:space="preserve">Discordant_Low</w:t>
            </w:r>
          </w:p>
        </w:tc>
        <w:tc>
          <w:tcPr/>
          <w:p>
            <w:pPr>
              <w:pStyle w:val="Compact"/>
              <w:jc w:val="right"/>
            </w:pPr>
            <w:r>
              <w:t xml:space="preserve">121</w:t>
            </w:r>
          </w:p>
        </w:tc>
        <w:tc>
          <w:tcPr/>
          <w:p>
            <w:pPr>
              <w:pStyle w:val="Compact"/>
              <w:jc w:val="right"/>
            </w:pPr>
            <w:r>
              <w:t xml:space="preserve">1·5 %</w:t>
            </w:r>
          </w:p>
        </w:tc>
      </w:tr>
      <w:tr>
        <w:tc>
          <w:tcPr/>
          <w:p>
            <w:pPr>
              <w:pStyle w:val="Compact"/>
            </w:pPr>
            <w:r>
              <w:t xml:space="preserve">Blunted</w:t>
            </w:r>
          </w:p>
        </w:tc>
        <w:tc>
          <w:tcPr/>
          <w:p>
            <w:pPr>
              <w:pStyle w:val="Compact"/>
              <w:jc w:val="right"/>
            </w:pPr>
            <w:r>
              <w:t xml:space="preserve">0</w:t>
            </w:r>
          </w:p>
        </w:tc>
        <w:tc>
          <w:tcPr/>
          <w:p>
            <w:pPr>
              <w:pStyle w:val="Compact"/>
              <w:jc w:val="right"/>
            </w:pPr>
            <w:r>
              <w:t xml:space="preserve">0 % (conjunctive criterion not met)</w:t>
            </w:r>
          </w:p>
        </w:tc>
      </w:tr>
    </w:tbl>
    <w:p>
      <w:pPr>
        <w:pStyle w:val="BodyText"/>
      </w:pPr>
      <w:r>
        <w:t xml:space="preserve">Source:</w:t>
      </w:r>
      <w:r>
        <w:t xml:space="preserve"> </w:t>
      </w:r>
      <w:r>
        <w:rPr>
          <w:rStyle w:val="VerbatimChar"/>
        </w:rPr>
        <w:t xml:space="preserve">03_outputs/lancet_run_2026-05-08/tables/ptp_classification.csv</w:t>
      </w:r>
      <w:r>
        <w:t xml:space="preserve">. The Discordant flags account for 12·6 % of classifications and block Type I/II assignment.</w:t>
      </w:r>
    </w:p>
    <w:bookmarkEnd w:id="60"/>
    <w:bookmarkStart w:id="61" w:name="Xc8ea0dbce48602bec8042b3418bdee89710d95d"/>
    <w:p>
      <w:pPr>
        <w:pStyle w:val="Heading2"/>
      </w:pPr>
      <w:r>
        <w:t xml:space="preserve">Table 4 — PTP/IEP-informed clinical algorithm (hypothesis-generating)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Integrated Type (suffix)</w:t>
            </w:r>
          </w:p>
        </w:tc>
        <w:tc>
          <w:tcPr/>
          <w:p>
            <w:pPr>
              <w:pStyle w:val="Compact"/>
            </w:pPr>
            <w:r>
              <w:t xml:space="preserve">Periprandial signature</w:t>
            </w:r>
          </w:p>
        </w:tc>
        <w:tc>
          <w:tcPr/>
          <w:p>
            <w:pPr>
              <w:pStyle w:val="Compact"/>
            </w:pPr>
            <w:r>
              <w:t xml:space="preserve">Action layer</w:t>
            </w:r>
          </w:p>
        </w:tc>
        <w:tc>
          <w:tcPr/>
          <w:p>
            <w:pPr>
              <w:pStyle w:val="Compact"/>
            </w:pPr>
            <w:r>
              <w:t xml:space="preserve">Validation status</w:t>
            </w:r>
          </w:p>
        </w:tc>
      </w:tr>
      <w:tr>
        <w:tc>
          <w:tcPr/>
          <w:p>
            <w:pPr>
              <w:pStyle w:val="Compact"/>
            </w:pPr>
            <w:r>
              <w:t xml:space="preserve">Type I·I or I·II (a)</w:t>
            </w:r>
          </w:p>
        </w:tc>
        <w:tc>
          <w:tcPr/>
          <w:p>
            <w:pPr>
              <w:pStyle w:val="Compact"/>
            </w:pPr>
            <w:r>
              <w:t xml:space="preserve">Preserved or Recovered across non-glucose axes</w:t>
            </w:r>
          </w:p>
        </w:tc>
        <w:tc>
          <w:tcPr/>
          <w:p>
            <w:pPr>
              <w:pStyle w:val="Compact"/>
            </w:pPr>
            <w:r>
              <w:t xml:space="preserve">Lifestyle support; no pharmacotherapy</w:t>
            </w:r>
          </w:p>
        </w:tc>
        <w:tc>
          <w:tcPr/>
          <w:p>
            <w:pPr>
              <w:pStyle w:val="Compact"/>
            </w:pPr>
            <w:r>
              <w:t xml:space="preserve">Reference; no prospective trial required</w:t>
            </w:r>
          </w:p>
        </w:tc>
      </w:tr>
      <w:tr>
        <w:tc>
          <w:tcPr/>
          <w:p>
            <w:pPr>
              <w:pStyle w:val="Compact"/>
            </w:pPr>
            <w:r>
              <w:t xml:space="preserve">Type II·I, II·II (a)</w:t>
            </w:r>
          </w:p>
        </w:tc>
        <w:tc>
          <w:tcPr/>
          <w:p>
            <w:pPr>
              <w:pStyle w:val="Compact"/>
            </w:pPr>
            <w:r>
              <w:t xml:space="preserve">Borderline Enhanced or Enhanced with normoglycaemia</w:t>
            </w:r>
          </w:p>
        </w:tc>
        <w:tc>
          <w:tcPr/>
          <w:p>
            <w:pPr>
              <w:pStyle w:val="Compact"/>
            </w:pPr>
            <w:r>
              <w:t xml:space="preserve">Reassessment in 3–6 months; physiological supraphysiology</w:t>
            </w:r>
          </w:p>
        </w:tc>
        <w:tc>
          <w:tcPr/>
          <w:p>
            <w:pPr>
              <w:pStyle w:val="Compact"/>
            </w:pPr>
            <w:r>
              <w:t xml:space="preserve">Awaits prospective validation</w:t>
            </w:r>
          </w:p>
        </w:tc>
      </w:tr>
      <w:tr>
        <w:tc>
          <w:tcPr/>
          <w:p>
            <w:pPr>
              <w:pStyle w:val="Compact"/>
            </w:pPr>
            <w:r>
              <w:t xml:space="preserve">Type III·I or III·II (a/b/c)</w:t>
            </w:r>
          </w:p>
        </w:tc>
        <w:tc>
          <w:tcPr/>
          <w:p>
            <w:pPr>
              <w:pStyle w:val="Compact"/>
            </w:pPr>
            <w:r>
              <w:t xml:space="preserve">Borderline Impaired, Impaired, or Blunted</w:t>
            </w:r>
          </w:p>
        </w:tc>
        <w:tc>
          <w:tcPr/>
          <w:p>
            <w:pPr>
              <w:pStyle w:val="Compact"/>
            </w:pPr>
            <w:r>
              <w:t xml:space="preserve">Single GLP-1 RA → dual GIP/GLP-1 → triple agonist (Tipo VI extension)</w:t>
            </w:r>
          </w:p>
        </w:tc>
        <w:tc>
          <w:tcPr/>
          <w:p>
            <w:pPr>
              <w:pStyle w:val="Compact"/>
            </w:pPr>
            <w:r>
              <w:t xml:space="preserve">Awaits prospective TRIPOD+AI validation</w:t>
            </w:r>
          </w:p>
        </w:tc>
      </w:tr>
      <w:tr>
        <w:tc>
          <w:tcPr/>
          <w:p>
            <w:pPr>
              <w:pStyle w:val="Compact"/>
            </w:pPr>
            <w:r>
              <w:t xml:space="preserve">Type IV·I or IV·II (a/b/c)</w:t>
            </w:r>
          </w:p>
        </w:tc>
        <w:tc>
          <w:tcPr/>
          <w:p>
            <w:pPr>
              <w:pStyle w:val="Compact"/>
            </w:pPr>
            <w:r>
              <w:t xml:space="preserve">Borderline Altered or Altered morphology</w:t>
            </w:r>
          </w:p>
        </w:tc>
        <w:tc>
          <w:tcPr/>
          <w:p>
            <w:pPr>
              <w:pStyle w:val="Compact"/>
            </w:pPr>
            <w:r>
              <w:t xml:space="preserve">Individualised mechanism-driven workup</w:t>
            </w:r>
          </w:p>
        </w:tc>
        <w:tc>
          <w:tcPr/>
          <w:p>
            <w:pPr>
              <w:pStyle w:val="Compact"/>
            </w:pPr>
            <w:r>
              <w:t xml:space="preserve">Awaits mechanism-stratified validation</w:t>
            </w:r>
          </w:p>
        </w:tc>
      </w:tr>
      <w:tr>
        <w:tc>
          <w:tcPr/>
          <w:p>
            <w:pPr>
              <w:pStyle w:val="Compact"/>
            </w:pPr>
            <w:r>
              <w:t xml:space="preserve">Type V·I or V·II (b/c)</w:t>
            </w:r>
          </w:p>
        </w:tc>
        <w:tc>
          <w:tcPr/>
          <w:p>
            <w:pPr>
              <w:pStyle w:val="Compact"/>
            </w:pPr>
            <w:r>
              <w:t xml:space="preserve">Borderline Enhanced or Enhanced with glycaemic dysregulation</w:t>
            </w:r>
          </w:p>
        </w:tc>
        <w:tc>
          <w:tcPr/>
          <w:p>
            <w:pPr>
              <w:pStyle w:val="Compact"/>
            </w:pPr>
            <w:r>
              <w:t xml:space="preserve">Metabolic-surgery candidate (RYGBP / SG) per Rubino 2025</w:t>
            </w:r>
          </w:p>
        </w:tc>
        <w:tc>
          <w:tcPr/>
          <w:p>
            <w:pPr>
              <w:pStyle w:val="Compact"/>
            </w:pPr>
            <w:r>
              <w:t xml:space="preserve">Aligns with 2025 Lancet D&amp;E commission</w:t>
            </w:r>
          </w:p>
        </w:tc>
      </w:tr>
      <w:tr>
        <w:tc>
          <w:tcPr/>
          <w:p>
            <w:pPr>
              <w:pStyle w:val="Compact"/>
            </w:pPr>
            <w:r>
              <w:t xml:space="preserve">Type V·I or V·II (a)</w:t>
            </w:r>
          </w:p>
        </w:tc>
        <w:tc>
          <w:tcPr/>
          <w:p>
            <w:pPr>
              <w:pStyle w:val="Compact"/>
            </w:pPr>
            <w:r>
              <w:t xml:space="preserve">Bariatric-dominant signature with normoglycaemia</w:t>
            </w:r>
          </w:p>
        </w:tc>
        <w:tc>
          <w:tcPr/>
          <w:p>
            <w:pPr>
              <w:pStyle w:val="Compact"/>
            </w:pPr>
            <w:r>
              <w:t xml:space="preserve">Post-bariatric maintenance</w:t>
            </w:r>
          </w:p>
        </w:tc>
        <w:tc>
          <w:tcPr/>
          <w:p>
            <w:pPr>
              <w:pStyle w:val="Compact"/>
            </w:pPr>
            <w:r>
              <w:t xml:space="preserve">Aligns with Lobato 2025; Madsbad 2014</w:t>
            </w:r>
          </w:p>
        </w:tc>
      </w:tr>
    </w:tbl>
    <w:p>
      <w:pPr>
        <w:pStyle w:val="BodyText"/>
      </w:pPr>
      <w:r>
        <w:t xml:space="preserve">Pre-specified caveat: hypothesis-generating, not prediction. Percentile thresholds and Type-keyed actions await prospective individual-participant validation under TRIPOD+AI</w:t>
      </w:r>
      <w:r>
        <w:rPr>
          <w:vertAlign w:val="superscript"/>
        </w:rPr>
        <w:t xml:space="preserve">9</w:t>
      </w:r>
      <w:r>
        <w:t xml:space="preserve">.</w:t>
      </w:r>
    </w:p>
    <w:bookmarkEnd w:id="61"/>
    <w:bookmarkEnd w:id="62"/>
    <w:bookmarkStart w:id="65" w:name="supplementary-material"/>
    <w:p>
      <w:pPr>
        <w:pStyle w:val="Heading1"/>
      </w:pPr>
      <w:r>
        <w:t xml:space="preserve">Supplementary material</w:t>
      </w:r>
    </w:p>
    <w:bookmarkStart w:id="63" w:name="X39cc6aae2b435109408dea17b386190dafadf29"/>
    <w:p>
      <w:pPr>
        <w:pStyle w:val="Heading2"/>
      </w:pPr>
      <w:r>
        <w:t xml:space="preserve">Supplementary S1 — Intensional definitions of Patterns I·I to V·II</w:t>
      </w:r>
    </w:p>
    <w:p>
      <w:pPr>
        <w:pStyle w:val="FirstParagraph"/>
      </w:pPr>
      <w:r>
        <w:t xml:space="preserve">Full intensional definitions of every sub-type from the eight-rule precedence and the three-suffix glycaemic context are released as Supplementary S1 alongside the manuscript. The supplementary file specifies, for each Type and each suffix, (a) the per-analyte PTP label profile that triggers the assignment; (b) the BLUP score region in the leading-eigenfunction subspace; (c) the cohort-level reference prevalence; and (d) the precedence-rule invocation (R1–R8) that resolves the assignment.</w:t>
      </w:r>
    </w:p>
    <w:bookmarkEnd w:id="63"/>
    <w:bookmarkStart w:id="64" w:name="X470d2c368d25c0044e900f0389cf4c0ea160ee1"/>
    <w:p>
      <w:pPr>
        <w:pStyle w:val="Heading2"/>
      </w:pPr>
      <w:r>
        <w:t xml:space="preserve">Supplementary S2 — Operational acquisition protocol (A3-DISTINCTIVE)</w:t>
      </w:r>
    </w:p>
    <w:p>
      <w:pPr>
        <w:pStyle w:val="FirstParagraph"/>
      </w:pPr>
      <w:r>
        <w:t xml:space="preserve">The operational acquisition protocol that prospective validation studies should follow is released as Supplementary S2. The protocol specifies meal composition (mixed-meal tolerance test as the primary modality; liquid mixed-meal test and 75 g OGTT as secondary modalities), sampling density (the {0, 15, 30, 60, 90, 120, 130, 150, 180} min grid), analyte preservation (EDTA + DPP-4 inhibitor + protease inhibitor cocktail for incretins; acid-stabilised acyl-ghrelin tube; standard glucose and insulin tubes), immunoassay specifications (pre-validated commercial ELISAs for each analyte; cross-validation against mass-spectrometry assays at the central laboratory), and harmonisation rules (componentwise standardisation against the non-obese-without-T2D reference distribution per Theorems S1.7–S1.8 of companion paper A2). Adherence to Supplementary S2 is the operational pre-condition for replicable PTP/IEP classification across centres.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and translational foundations of the FDEP-TP framework: PACE-mFPCA pipeline, PTP/IEP classification, and clinical implications across obesity, type 2 diabetes, and metabolic surgery</dc:title>
  <dc:creator>Héctor M. Virgen-Ayala</dc:creator>
  <cp:keywords/>
  <dcterms:created xsi:type="dcterms:W3CDTF">2026-05-10T01:20:24Z</dcterms:created>
  <dcterms:modified xsi:type="dcterms:W3CDTF">2026-05-10T01:20:24Z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refs_A3.bib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