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i w:val="0"/>
          <w:color w:val="1B3A5C"/>
          <w:sz w:val="36"/>
        </w:rPr>
        <w:t>Optimized Integration of Periprandial Transition Profiles</w:t>
        <w:br/>
        <w:t>and Enteropancreatic Patterns with Glycemic Subclassification</w:t>
      </w:r>
    </w:p>
    <w:p>
      <w:pPr>
        <w:jc w:val="center"/>
      </w:pPr>
      <w:r>
        <w:rPr>
          <w:rFonts w:ascii="Times New Roman" w:hAnsi="Times New Roman"/>
          <w:b w:val="0"/>
          <w:i/>
          <w:color w:val="2E5984"/>
          <w:sz w:val="26"/>
        </w:rPr>
        <w:t>A Deterministic Classification Framework for Cross-Sectional and</w:t>
        <w:br/>
        <w:t>Post-Intervention Characterization of Enteropancreatic Physiology</w:t>
      </w:r>
    </w:p>
    <w:p/>
    <w:p>
      <w:pPr>
        <w:jc w:val="center"/>
      </w:pPr>
      <w:r>
        <w:rPr>
          <w:rFonts w:ascii="Times New Roman" w:hAnsi="Times New Roman"/>
          <w:b/>
          <w:i w:val="0"/>
          <w:sz w:val="24"/>
        </w:rPr>
        <w:t>Technical Methods Document</w:t>
      </w:r>
    </w:p>
    <w:p>
      <w:pPr>
        <w:jc w:val="center"/>
      </w:pPr>
      <w:r>
        <w:rPr>
          <w:rFonts w:ascii="Times New Roman" w:hAnsi="Times New Roman"/>
          <w:b w:val="0"/>
          <w:i w:val="0"/>
          <w:sz w:val="22"/>
        </w:rPr>
        <w:t>Version 1.0 — April 2026</w:t>
      </w:r>
    </w:p>
    <w:p/>
    <w:p>
      <w:pPr>
        <w:spacing w:after="120"/>
        <w:jc w:val="center"/>
      </w:pPr>
      <w:r>
        <w:rPr>
          <w:rFonts w:ascii="Times New Roman" w:hAnsi="Times New Roman"/>
          <w:b w:val="0"/>
          <w:i/>
          <w:sz w:val="20"/>
        </w:rPr>
        <w:t>Classification framework for analyte-level Periprandial Transition Profiles (PTPs) and rule-based Integrated Enteropancreatic Patterns (IEPs, Types I–V) based on Functional Principal Component Analysis of periprandial hormone dynamics, standardized against a Lean-Healthy reference distribution.</w:t>
      </w:r>
    </w:p>
    <w:p>
      <w:r>
        <w:br w:type="page"/>
      </w:r>
    </w:p>
    <w:p>
      <w:pPr>
        <w:pStyle w:val="Heading1"/>
      </w:pPr>
      <w:r>
        <w:t>Table of Contents</w:t>
      </w:r>
    </w:p>
    <w:p>
      <w:r>
        <w:rPr>
          <w:rFonts w:ascii="Times New Roman" w:hAnsi="Times New Roman"/>
          <w:b w:val="0"/>
          <w:i/>
          <w:color w:val="666666"/>
          <w:sz w:val="20"/>
        </w:rPr>
        <w:t>[This table of contents should be updated after opening the document in Microsoft Word: References tab → Update Table. The document uses Heading styles compatible with automatic TOC generation.]</w:t>
      </w:r>
    </w:p>
    <w:p>
      <w:r>
        <w:br w:type="page"/>
      </w:r>
    </w:p>
    <w:p>
      <w:pPr>
        <w:pStyle w:val="Heading1"/>
      </w:pPr>
      <w:r>
        <w:t>1. Introduction and Rationale</w:t>
      </w:r>
    </w:p>
    <w:p>
      <w:r>
        <w:rPr>
          <w:rFonts w:ascii="Times New Roman" w:hAnsi="Times New Roman"/>
          <w:b w:val="0"/>
          <w:i w:val="0"/>
        </w:rPr>
        <w:t>The characterization of enteroendocrine and pancreatic hormone dynamics in response to nutrient stimuli represents a fundamental challenge in metabolic endocrinology. Traditional approaches to classifying postprandial hormone responses—relying on scalar summary measures such as area under the curve (AUC) or peak concentration values—fail to capture the rich temporal structure embedded in periprandial time-series data (Ramsay &amp; Silverman, 2005; Müller, 2005). The advent of Functional Data Analysis (FDA) and, specifically, Functional Principal Component Analysis (FPCA), provides a mathematically rigorous framework for decomposing hormone response curves into interpretable modes of variation: global amplitude (PC1), early-versus-late temporal redistribution (PC2), and biphasic or higher-order shape features (PC3) (Yao et al., 2005; Wang et al., 2016).</w:t>
      </w:r>
    </w:p>
    <w:p>
      <w:r>
        <w:rPr>
          <w:rFonts w:ascii="Times New Roman" w:hAnsi="Times New Roman"/>
          <w:b w:val="0"/>
          <w:i w:val="0"/>
        </w:rPr>
        <w:t>This document presents an optimized, deterministic classification framework that integrates analyte-level Periprandial Transition Profiles (PTPs) into Integrated Enteropancreatic Patterns (IEPs, Types I–V) with glycemic subclassification. The framework is designed for application to cross-sectional disease characterization (primary PTPs) and post-intervention evaluation (secondary PTPs), with explicit reference to a Lean-Healthy control distribution. The classification system addresses several critical methodological refinements:</w:t>
      </w:r>
    </w:p>
    <w:p>
      <w:r>
        <w:rPr>
          <w:rFonts w:ascii="Times New Roman" w:hAnsi="Times New Roman"/>
          <w:b w:val="0"/>
          <w:i w:val="0"/>
        </w:rPr>
        <w:t xml:space="preserve">First, </w:t>
      </w:r>
      <w:r>
        <w:rPr>
          <w:rFonts w:ascii="Times New Roman" w:hAnsi="Times New Roman"/>
          <w:b/>
          <w:i w:val="0"/>
        </w:rPr>
        <w:t>the term "secretory capacity" is replaced throughout by "physiologic periprandial responsiveness,"</w:t>
      </w:r>
      <w:r>
        <w:rPr>
          <w:rFonts w:ascii="Times New Roman" w:hAnsi="Times New Roman"/>
          <w:b w:val="0"/>
          <w:i w:val="0"/>
        </w:rPr>
        <w:t xml:space="preserve"> a term that applies uniformly to secretion-dominant analytes (GIP, GLP-1, insulin), suppression-dominant signals (ghrelin), and glucose, which is not a secretory hormone but rather a glycemic regulation signal (Nauck &amp; Müller, 2023; Holst, 2007).</w:t>
      </w:r>
    </w:p>
    <w:p>
      <w:r>
        <w:rPr>
          <w:rFonts w:ascii="Times New Roman" w:hAnsi="Times New Roman"/>
          <w:b w:val="0"/>
          <w:i w:val="0"/>
        </w:rPr>
        <w:t xml:space="preserve">Second, </w:t>
      </w:r>
      <w:r>
        <w:rPr>
          <w:rFonts w:ascii="Times New Roman" w:hAnsi="Times New Roman"/>
          <w:b/>
          <w:i w:val="0"/>
        </w:rPr>
        <w:t>the primary classification coordinates are strictly defined</w:t>
      </w:r>
      <w:r>
        <w:rPr>
          <w:rFonts w:ascii="Times New Roman" w:hAnsi="Times New Roman"/>
          <w:b w:val="0"/>
          <w:i w:val="0"/>
        </w:rPr>
        <w:t xml:space="preserve"> as the basal concentration, PC1 (global amplitude), ξ₂/PC2 (early-versus-late temporal redistribution), and ξ₃/PC3 (biphasic or higher-order shape). The secondary orthogonal shape-balance descriptor derived from ξ₂ and ξ₃ remains supplementary and must not replace these primary coordinates in the classification rule (Ramsay &amp; Silverman, 2005).</w:t>
      </w:r>
    </w:p>
    <w:p>
      <w:r>
        <w:rPr>
          <w:rFonts w:ascii="Times New Roman" w:hAnsi="Times New Roman"/>
          <w:b w:val="0"/>
          <w:i w:val="0"/>
        </w:rPr>
        <w:t xml:space="preserve">Third, </w:t>
      </w:r>
      <w:r>
        <w:rPr>
          <w:rFonts w:ascii="Times New Roman" w:hAnsi="Times New Roman"/>
          <w:b/>
          <w:i w:val="0"/>
        </w:rPr>
        <w:t>weight loss is not used as a hard gate for secondary PTP labels.</w:t>
      </w:r>
      <w:r>
        <w:rPr>
          <w:rFonts w:ascii="Times New Roman" w:hAnsi="Times New Roman"/>
          <w:b w:val="0"/>
          <w:i w:val="0"/>
        </w:rPr>
        <w:t xml:space="preserve"> Post-intervention classification depends on where the post-intervention profile lies relative to the Lean-Healthy reference and on the direction of change relative to the pre-intervention state. Weight loss is reported as a contextual modifier only (Mingrone et al., 2012; Schauer et al., 2017).</w:t>
      </w:r>
    </w:p>
    <w:p>
      <w:pPr>
        <w:pStyle w:val="Heading1"/>
      </w:pPr>
      <w:r>
        <w:t>2. General Notation and Analyte Groupings</w:t>
      </w:r>
    </w:p>
    <w:p>
      <w:pPr>
        <w:pStyle w:val="Heading2"/>
      </w:pPr>
      <w:r>
        <w:t>2.1 Standardized Analyte-Specific Classification Vector</w:t>
      </w:r>
    </w:p>
    <w:p>
      <w:r>
        <w:rPr>
          <w:rFonts w:ascii="Times New Roman" w:hAnsi="Times New Roman"/>
          <w:b w:val="0"/>
          <w:i w:val="0"/>
        </w:rPr>
        <w:t>For analyte h and record i, the classification uses the standardized analyte-specific vector:</w:t>
      </w:r>
    </w:p>
    <w:p>
      <w:pPr>
        <w:jc w:val="center"/>
      </w:pPr>
      <w:r>
        <w:rPr>
          <w:rFonts w:ascii="Times New Roman" w:hAnsi="Times New Roman"/>
          <w:b/>
          <w:i w:val="0"/>
          <w:sz w:val="24"/>
        </w:rPr>
        <w:t>Z_ih = [ z(B_ih),  z(ξ_ih1),  z(ξ_ih2),  z(ξ_ih3) ]</w:t>
      </w:r>
    </w:p>
    <w:p>
      <w:r>
        <w:rPr>
          <w:rFonts w:ascii="Times New Roman" w:hAnsi="Times New Roman"/>
          <w:b w:val="0"/>
          <w:i w:val="0"/>
        </w:rPr>
        <w:t>Where:</w:t>
      </w:r>
    </w:p>
    <w:p>
      <w:r>
        <w:rPr>
          <w:rFonts w:ascii="Times New Roman" w:hAnsi="Times New Roman"/>
          <w:b/>
          <w:i/>
        </w:rPr>
        <w:t>B_ih</w:t>
      </w:r>
      <w:r>
        <w:rPr>
          <w:rFonts w:ascii="Times New Roman" w:hAnsi="Times New Roman"/>
          <w:b w:val="0"/>
          <w:i w:val="0"/>
        </w:rPr>
        <w:t xml:space="preserve"> = basal (fasting) concentration for analyte h in record i</w:t>
      </w:r>
    </w:p>
    <w:p>
      <w:r>
        <w:rPr>
          <w:rFonts w:ascii="Times New Roman" w:hAnsi="Times New Roman"/>
          <w:b/>
          <w:i/>
        </w:rPr>
        <w:t>ξ_ih1</w:t>
      </w:r>
      <w:r>
        <w:rPr>
          <w:rFonts w:ascii="Times New Roman" w:hAnsi="Times New Roman"/>
          <w:b w:val="0"/>
          <w:i w:val="0"/>
        </w:rPr>
        <w:t xml:space="preserve"> = PC1 score (global amplitude component)</w:t>
      </w:r>
    </w:p>
    <w:p>
      <w:r>
        <w:rPr>
          <w:rFonts w:ascii="Times New Roman" w:hAnsi="Times New Roman"/>
          <w:b/>
          <w:i/>
        </w:rPr>
        <w:t>ξ_ih2</w:t>
      </w:r>
      <w:r>
        <w:rPr>
          <w:rFonts w:ascii="Times New Roman" w:hAnsi="Times New Roman"/>
          <w:b w:val="0"/>
          <w:i w:val="0"/>
        </w:rPr>
        <w:t xml:space="preserve"> = PC2 score (early-versus-late temporal redistribution)</w:t>
      </w:r>
    </w:p>
    <w:p>
      <w:r>
        <w:rPr>
          <w:rFonts w:ascii="Times New Roman" w:hAnsi="Times New Roman"/>
          <w:b/>
          <w:i/>
        </w:rPr>
        <w:t>ξ_ih3</w:t>
      </w:r>
      <w:r>
        <w:rPr>
          <w:rFonts w:ascii="Times New Roman" w:hAnsi="Times New Roman"/>
          <w:b w:val="0"/>
          <w:i w:val="0"/>
        </w:rPr>
        <w:t xml:space="preserve"> = PC3 score (biphasic or higher-order temporal shape)</w:t>
      </w:r>
    </w:p>
    <w:p>
      <w:r>
        <w:rPr>
          <w:rFonts w:ascii="Times New Roman" w:hAnsi="Times New Roman"/>
          <w:b w:val="0"/>
          <w:i/>
        </w:rPr>
        <w:t>The secondary orthogonal shape-balance descriptor derived from ξ₂ and ξ₃ may be reported as a supplementary summary of temporal-shape balance but must not replace ξ₂ and ξ₃ in the primary classification rule.</w:t>
      </w:r>
    </w:p>
    <w:p>
      <w:pPr>
        <w:pStyle w:val="Heading2"/>
      </w:pPr>
      <w:r>
        <w:t>2.2 Analyte Groupings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B3A5C" w:val="clear"/>
            <w:vAlign w:val="center"/>
          </w:tcPr>
          <w:p>
            <w:pPr>
              <w:jc w:val="center"/>
            </w:pPr>
            <w:r/>
            <w:r>
              <w:rPr>
                <w:rFonts w:ascii="Times New Roman" w:hAnsi="Times New Roman"/>
                <w:b/>
                <w:color w:val="FFFFFF"/>
                <w:sz w:val="18"/>
              </w:rPr>
              <w:t>Signal Type</w:t>
            </w:r>
          </w:p>
        </w:tc>
        <w:tc>
          <w:tcPr>
            <w:tcW w:type="dxa" w:w="2160"/>
            <w:shd w:fill="1B3A5C" w:val="clear"/>
            <w:vAlign w:val="center"/>
          </w:tcPr>
          <w:p>
            <w:pPr>
              <w:jc w:val="center"/>
            </w:pPr>
            <w:r/>
            <w:r>
              <w:rPr>
                <w:rFonts w:ascii="Times New Roman" w:hAnsi="Times New Roman"/>
                <w:b/>
                <w:color w:val="FFFFFF"/>
                <w:sz w:val="18"/>
              </w:rPr>
              <w:t>Analytes</w:t>
            </w:r>
          </w:p>
        </w:tc>
        <w:tc>
          <w:tcPr>
            <w:tcW w:type="dxa" w:w="4608"/>
            <w:shd w:fill="1B3A5C" w:val="clear"/>
            <w:vAlign w:val="center"/>
          </w:tcPr>
          <w:p>
            <w:pPr>
              <w:jc w:val="center"/>
            </w:pPr>
            <w:r/>
            <w:r>
              <w:rPr>
                <w:rFonts w:ascii="Times New Roman" w:hAnsi="Times New Roman"/>
                <w:b/>
                <w:color w:val="FFFFFF"/>
                <w:sz w:val="18"/>
              </w:rPr>
              <w:t>Physiological Rationale</w:t>
            </w:r>
          </w:p>
        </w:tc>
      </w:tr>
      <w:tr>
        <w:tc>
          <w:tcPr>
            <w:tcW w:type="dxa" w:w="2592"/>
            <w:vAlign w:val="center"/>
            <w:shd w:fill="EDF2F7" w:val="clear"/>
          </w:tcPr>
          <w:p>
            <w:r/>
            <w:r>
              <w:rPr>
                <w:rFonts w:ascii="Times New Roman" w:hAnsi="Times New Roman"/>
                <w:sz w:val="18"/>
              </w:rPr>
              <w:t>Secretion-dominant</w:t>
            </w:r>
          </w:p>
        </w:tc>
        <w:tc>
          <w:tcPr>
            <w:tcW w:type="dxa" w:w="2160"/>
            <w:vAlign w:val="center"/>
            <w:shd w:fill="EDF2F7" w:val="clear"/>
          </w:tcPr>
          <w:p>
            <w:r/>
            <w:r>
              <w:rPr>
                <w:rFonts w:ascii="Times New Roman" w:hAnsi="Times New Roman"/>
                <w:sz w:val="18"/>
              </w:rPr>
              <w:t>GIP, GLP-1, Insulin</w:t>
            </w:r>
          </w:p>
        </w:tc>
        <w:tc>
          <w:tcPr>
            <w:tcW w:type="dxa" w:w="4608"/>
            <w:vAlign w:val="center"/>
            <w:shd w:fill="EDF2F7" w:val="clear"/>
          </w:tcPr>
          <w:p>
            <w:r/>
            <w:r>
              <w:rPr>
                <w:rFonts w:ascii="Times New Roman" w:hAnsi="Times New Roman"/>
                <w:sz w:val="18"/>
              </w:rPr>
              <w:t>Postprandial secretory response is the primary dynamic; classification tracks amplitude and temporal redistribution of secretion</w:t>
            </w:r>
          </w:p>
        </w:tc>
      </w:tr>
      <w:tr>
        <w:tc>
          <w:tcPr>
            <w:tcW w:type="dxa" w:w="2592"/>
            <w:vAlign w:val="center"/>
          </w:tcPr>
          <w:p>
            <w:r/>
            <w:r>
              <w:rPr>
                <w:rFonts w:ascii="Times New Roman" w:hAnsi="Times New Roman"/>
                <w:sz w:val="18"/>
              </w:rPr>
              <w:t>Suppression-dominant</w:t>
            </w:r>
          </w:p>
        </w:tc>
        <w:tc>
          <w:tcPr>
            <w:tcW w:type="dxa" w:w="2160"/>
            <w:vAlign w:val="center"/>
          </w:tcPr>
          <w:p>
            <w:r/>
            <w:r>
              <w:rPr>
                <w:rFonts w:ascii="Times New Roman" w:hAnsi="Times New Roman"/>
                <w:sz w:val="18"/>
              </w:rPr>
              <w:t>Ghrelin</w:t>
            </w:r>
          </w:p>
        </w:tc>
        <w:tc>
          <w:tcPr>
            <w:tcW w:type="dxa" w:w="4608"/>
            <w:vAlign w:val="center"/>
          </w:tcPr>
          <w:p>
            <w:r/>
            <w:r>
              <w:rPr>
                <w:rFonts w:ascii="Times New Roman" w:hAnsi="Times New Roman"/>
                <w:sz w:val="18"/>
              </w:rPr>
              <w:t>Postprandial suppression is the primary dynamic; classification tracks the depth and temporal profile of suppression (Engström et al., 2007; Samat et al., 2013)</w:t>
            </w:r>
          </w:p>
        </w:tc>
      </w:tr>
      <w:tr>
        <w:tc>
          <w:tcPr>
            <w:tcW w:type="dxa" w:w="2592"/>
            <w:vAlign w:val="center"/>
            <w:shd w:fill="EDF2F7" w:val="clear"/>
          </w:tcPr>
          <w:p>
            <w:r/>
            <w:r>
              <w:rPr>
                <w:rFonts w:ascii="Times New Roman" w:hAnsi="Times New Roman"/>
                <w:sz w:val="18"/>
              </w:rPr>
              <w:t>Glycemic regulation signal</w:t>
            </w:r>
          </w:p>
        </w:tc>
        <w:tc>
          <w:tcPr>
            <w:tcW w:type="dxa" w:w="2160"/>
            <w:vAlign w:val="center"/>
            <w:shd w:fill="EDF2F7" w:val="clear"/>
          </w:tcPr>
          <w:p>
            <w:r/>
            <w:r>
              <w:rPr>
                <w:rFonts w:ascii="Times New Roman" w:hAnsi="Times New Roman"/>
                <w:sz w:val="18"/>
              </w:rPr>
              <w:t>Glucose</w:t>
            </w:r>
          </w:p>
        </w:tc>
        <w:tc>
          <w:tcPr>
            <w:tcW w:type="dxa" w:w="4608"/>
            <w:vAlign w:val="center"/>
            <w:shd w:fill="EDF2F7" w:val="clear"/>
          </w:tcPr>
          <w:p>
            <w:r/>
            <w:r>
              <w:rPr>
                <w:rFonts w:ascii="Times New Roman" w:hAnsi="Times New Roman"/>
                <w:sz w:val="18"/>
              </w:rPr>
              <w:t>Not a secretory hormone; classification tracks glycemic excursion dynamics, redistribution, and regulation rather than secretory capacity</w:t>
            </w:r>
          </w:p>
        </w:tc>
      </w:tr>
    </w:tbl>
    <w:p>
      <w:pPr>
        <w:pStyle w:val="Heading2"/>
      </w:pPr>
      <w:r>
        <w:t>2.3 Preferred Statistical Implementation</w:t>
      </w:r>
    </w:p>
    <w:p>
      <w:r>
        <w:rPr>
          <w:rFonts w:ascii="Times New Roman" w:hAnsi="Times New Roman"/>
          <w:b w:val="0"/>
          <w:i w:val="0"/>
        </w:rPr>
        <w:t>For temporal-shape classification, a bivariate reference region for (ξ₂, ξ₃) is preferred, ideally constructed as a Lean-Healthy reference ellipse (e.g., 95% tolerance ellipse from the Lean-Healthy cohort). If a multivariate reference region is not available, a percentile-based fallback rule for ξ₂ and ξ₃ separately should be applied. The operational percentile thresholds specified below serve as this fallback (Ramsay &amp; Silverman, 2005; Wang et al., 2016).</w:t>
      </w:r>
    </w:p>
    <w:p>
      <w:r>
        <w:br w:type="page"/>
      </w:r>
    </w:p>
    <w:p>
      <w:pPr>
        <w:pStyle w:val="Heading1"/>
      </w:pPr>
      <w:r>
        <w:t>3. Primary Enteropancreatic Periprandial Transition Profiles</w:t>
      </w:r>
    </w:p>
    <w:p>
      <w:pPr>
        <w:spacing w:after="240"/>
      </w:pPr>
      <w:r>
        <w:rPr>
          <w:rFonts w:ascii="Times New Roman" w:hAnsi="Times New Roman"/>
          <w:b w:val="0"/>
          <w:i w:val="0"/>
        </w:rPr>
        <w:t>Primary PTPs provide the cross-sectional characterization of metabolic disease states by comparing disease cohorts against a Lean-Healthy reference distribution. Six classes are defined, spanning from reference-concordant physiology through lower-tail impairment to upper-tail dysregulation.</w:t>
      </w:r>
    </w:p>
    <w:p>
      <w:pPr>
        <w:pStyle w:val="Heading2"/>
      </w:pPr>
      <w:r>
        <w:t>3.1. Preserved</w:t>
      </w:r>
    </w:p>
    <w:p>
      <w:r>
        <w:rPr>
          <w:rFonts w:ascii="Times New Roman" w:hAnsi="Times New Roman"/>
          <w:b/>
          <w:i w:val="0"/>
        </w:rPr>
        <w:t xml:space="preserve">Definition: </w:t>
      </w:r>
      <w:r>
        <w:rPr>
          <w:rFonts w:ascii="Times New Roman" w:hAnsi="Times New Roman"/>
          <w:b w:val="0"/>
          <w:i/>
        </w:rPr>
        <w:t>The periprandial transition is reference-concordant.</w:t>
      </w:r>
    </w:p>
    <w:p>
      <w:r>
        <w:rPr>
          <w:rFonts w:ascii="Times New Roman" w:hAnsi="Times New Roman"/>
          <w:b/>
          <w:i w:val="0"/>
        </w:rPr>
        <w:t xml:space="preserve">Interpretation: </w:t>
      </w:r>
      <w:r>
        <w:rPr>
          <w:rFonts w:ascii="Times New Roman" w:hAnsi="Times New Roman"/>
          <w:b w:val="0"/>
          <w:i w:val="0"/>
        </w:rPr>
        <w:t>Preserved physiologic periprandial responsiveness, without clear evidence of attenuated, exaggerated, dysregulated, or pathologically shifted transition.</w:t>
      </w:r>
    </w:p>
    <w:p>
      <w:r>
        <w:rPr>
          <w:rFonts w:ascii="Times New Roman" w:hAnsi="Times New Roman"/>
          <w:b/>
          <w:i w:val="0"/>
        </w:rPr>
        <w:t xml:space="preserve">Preferred statistical criteria: </w:t>
      </w:r>
      <w:r>
        <w:rPr>
          <w:rFonts w:ascii="Times New Roman" w:hAnsi="Times New Roman"/>
          <w:b w:val="0"/>
          <w:i w:val="0"/>
        </w:rPr>
        <w:t>Assign Preserved when: basal concentration remains within the Lean-Healthy central reference band; PC1 remains within the central reference band; ξ₂ and ξ₃ remain within the reference-compatible temporal-shape region; and no primary coordinate crosses a lower-tail or upper-tail abnormality threshold.</w:t>
      </w:r>
    </w:p>
    <w:p>
      <w:r>
        <w:rPr>
          <w:rFonts w:ascii="Times New Roman" w:hAnsi="Times New Roman"/>
          <w:b/>
          <w:i w:val="0"/>
        </w:rPr>
        <w:t xml:space="preserve">Operational percentile fallback: </w:t>
      </w:r>
      <w:r>
        <w:rPr>
          <w:rFonts w:ascii="Times New Roman" w:hAnsi="Times New Roman"/>
          <w:b w:val="0"/>
          <w:i w:val="0"/>
        </w:rPr>
        <w:t>Basal: 25th–75th percentile; PC1: 25th–75th percentile; ξ₂, ξ₃: compatible with the central reference region.</w:t>
      </w:r>
    </w:p>
    <w:p>
      <w:r>
        <w:rPr>
          <w:rFonts w:ascii="Times New Roman" w:hAnsi="Times New Roman"/>
          <w:b/>
          <w:i/>
        </w:rPr>
        <w:t xml:space="preserve">Physiological note: </w:t>
      </w:r>
      <w:r>
        <w:rPr>
          <w:rFonts w:ascii="Times New Roman" w:hAnsi="Times New Roman"/>
          <w:b w:val="0"/>
          <w:i/>
        </w:rPr>
        <w:t>Secretion-dominant analytes: preserved secretory responsiveness. Ghrelin: preserved postprandial suppression. Glucose: preserved glycemic dynamic regulation.</w:t>
      </w:r>
    </w:p>
    <w:p>
      <w:pPr>
        <w:pStyle w:val="Heading2"/>
      </w:pPr>
      <w:r>
        <w:t>3.2. Borderline Impaired</w:t>
      </w:r>
    </w:p>
    <w:p>
      <w:r>
        <w:rPr>
          <w:rFonts w:ascii="Times New Roman" w:hAnsi="Times New Roman"/>
          <w:b/>
          <w:i w:val="0"/>
        </w:rPr>
        <w:t xml:space="preserve">Definition: </w:t>
      </w:r>
      <w:r>
        <w:rPr>
          <w:rFonts w:ascii="Times New Roman" w:hAnsi="Times New Roman"/>
          <w:b w:val="0"/>
          <w:i/>
        </w:rPr>
        <w:t>The periprandial transition shows a mild lower-tail deviation relative to Lean-Healthy.</w:t>
      </w:r>
    </w:p>
    <w:p>
      <w:r>
        <w:rPr>
          <w:rFonts w:ascii="Times New Roman" w:hAnsi="Times New Roman"/>
          <w:b/>
          <w:i w:val="0"/>
        </w:rPr>
        <w:t xml:space="preserve">Interpretation: </w:t>
      </w:r>
      <w:r>
        <w:rPr>
          <w:rFonts w:ascii="Times New Roman" w:hAnsi="Times New Roman"/>
          <w:b w:val="0"/>
          <w:i w:val="0"/>
        </w:rPr>
        <w:t>Mild reduction in physiologic periprandial responsiveness, consistent with early impairment, reduced early-phase recruitment, deficient suppression, or attenuated coordinated response.</w:t>
      </w:r>
    </w:p>
    <w:p>
      <w:r>
        <w:rPr>
          <w:rFonts w:ascii="Times New Roman" w:hAnsi="Times New Roman"/>
          <w:b/>
          <w:i w:val="0"/>
        </w:rPr>
        <w:t xml:space="preserve">Preferred statistical criteria: </w:t>
      </w:r>
      <w:r>
        <w:rPr>
          <w:rFonts w:ascii="Times New Roman" w:hAnsi="Times New Roman"/>
          <w:b w:val="0"/>
          <w:i w:val="0"/>
        </w:rPr>
        <w:t>Assign Borderline Impaired when: at least one primary coordinate shows a lower-tail deviation in the mild abnormal range; there is no severe lower-tail shift; and there is no competing upper-tail dysregulation that would justify an Altered label.</w:t>
      </w:r>
    </w:p>
    <w:p>
      <w:r>
        <w:rPr>
          <w:rFonts w:ascii="Times New Roman" w:hAnsi="Times New Roman"/>
          <w:b/>
          <w:i w:val="0"/>
        </w:rPr>
        <w:t xml:space="preserve">Operational percentile fallback: </w:t>
      </w:r>
      <w:r>
        <w:rPr>
          <w:rFonts w:ascii="Times New Roman" w:hAnsi="Times New Roman"/>
          <w:b w:val="0"/>
          <w:i w:val="0"/>
        </w:rPr>
        <w:t>Basal and/or PC1: 10th–25th percentile; ξ₂ and/or ξ₃: mild deviation toward impaired temporal structure; No primary coordinate &lt;5th percentile.</w:t>
      </w:r>
    </w:p>
    <w:p>
      <w:r>
        <w:rPr>
          <w:rFonts w:ascii="Times New Roman" w:hAnsi="Times New Roman"/>
          <w:b/>
          <w:i/>
        </w:rPr>
        <w:t xml:space="preserve">Physiological note: </w:t>
      </w:r>
      <w:r>
        <w:rPr>
          <w:rFonts w:ascii="Times New Roman" w:hAnsi="Times New Roman"/>
          <w:b w:val="0"/>
          <w:i/>
        </w:rPr>
        <w:t>Avoid describing this automatically as hypoglycemia. For glucose, this more often indicates attenuated or poorly distributed glycemic excursion, not necessarily clinically meaningful hypoglycemia.</w:t>
      </w:r>
    </w:p>
    <w:p>
      <w:pPr>
        <w:pStyle w:val="Heading2"/>
      </w:pPr>
      <w:r>
        <w:t>3.3. Impaired</w:t>
      </w:r>
    </w:p>
    <w:p>
      <w:r>
        <w:rPr>
          <w:rFonts w:ascii="Times New Roman" w:hAnsi="Times New Roman"/>
          <w:b/>
          <w:i w:val="0"/>
        </w:rPr>
        <w:t xml:space="preserve">Definition: </w:t>
      </w:r>
      <w:r>
        <w:rPr>
          <w:rFonts w:ascii="Times New Roman" w:hAnsi="Times New Roman"/>
          <w:b w:val="0"/>
          <w:i/>
        </w:rPr>
        <w:t>The periprandial transition shows a moderate lower-tail deviation relative to Lean-Healthy.</w:t>
      </w:r>
    </w:p>
    <w:p>
      <w:r>
        <w:rPr>
          <w:rFonts w:ascii="Times New Roman" w:hAnsi="Times New Roman"/>
          <w:b/>
          <w:i w:val="0"/>
        </w:rPr>
        <w:t xml:space="preserve">Interpretation: </w:t>
      </w:r>
      <w:r>
        <w:rPr>
          <w:rFonts w:ascii="Times New Roman" w:hAnsi="Times New Roman"/>
          <w:b w:val="0"/>
          <w:i w:val="0"/>
        </w:rPr>
        <w:t>Moderately reduced physiologic periprandial responsiveness, compatible with persistent dysfunction in secretion, suppression, early-phase recruitment, or coordinated postprandial control.</w:t>
      </w:r>
    </w:p>
    <w:p>
      <w:r>
        <w:rPr>
          <w:rFonts w:ascii="Times New Roman" w:hAnsi="Times New Roman"/>
          <w:b/>
          <w:i w:val="0"/>
        </w:rPr>
        <w:t xml:space="preserve">Preferred statistical criteria: </w:t>
      </w:r>
      <w:r>
        <w:rPr>
          <w:rFonts w:ascii="Times New Roman" w:hAnsi="Times New Roman"/>
          <w:b w:val="0"/>
          <w:i w:val="0"/>
        </w:rPr>
        <w:t>Assign Impaired when: at least one primary coordinate falls in the moderate lower-tail abnormal range; the profile is more abnormal than Borderline Impaired but does not meet Blunted criteria.</w:t>
      </w:r>
    </w:p>
    <w:p>
      <w:r>
        <w:rPr>
          <w:rFonts w:ascii="Times New Roman" w:hAnsi="Times New Roman"/>
          <w:b/>
          <w:i w:val="0"/>
        </w:rPr>
        <w:t xml:space="preserve">Operational percentile fallback: </w:t>
      </w:r>
      <w:r>
        <w:rPr>
          <w:rFonts w:ascii="Times New Roman" w:hAnsi="Times New Roman"/>
          <w:b w:val="0"/>
          <w:i w:val="0"/>
        </w:rPr>
        <w:t>Basal and/or PC1: 5th–10th percentile; ξ₂ and/or ξ₃: moderate deviation toward impaired temporal structure; No primary coordinate &lt;5th percentile.</w:t>
      </w:r>
    </w:p>
    <w:p>
      <w:pPr>
        <w:pStyle w:val="Heading2"/>
      </w:pPr>
      <w:r>
        <w:t>3.4. Blunted</w:t>
      </w:r>
    </w:p>
    <w:p>
      <w:r>
        <w:rPr>
          <w:rFonts w:ascii="Times New Roman" w:hAnsi="Times New Roman"/>
          <w:b/>
          <w:i w:val="0"/>
        </w:rPr>
        <w:t xml:space="preserve">Definition: </w:t>
      </w:r>
      <w:r>
        <w:rPr>
          <w:rFonts w:ascii="Times New Roman" w:hAnsi="Times New Roman"/>
          <w:b w:val="0"/>
          <w:i/>
        </w:rPr>
        <w:t>The periprandial transition is severely attenuated relative to Lean-Healthy.</w:t>
      </w:r>
    </w:p>
    <w:p>
      <w:r>
        <w:rPr>
          <w:rFonts w:ascii="Times New Roman" w:hAnsi="Times New Roman"/>
          <w:b/>
          <w:i w:val="0"/>
        </w:rPr>
        <w:t xml:space="preserve">Interpretation: </w:t>
      </w:r>
      <w:r>
        <w:rPr>
          <w:rFonts w:ascii="Times New Roman" w:hAnsi="Times New Roman"/>
          <w:b w:val="0"/>
          <w:i w:val="0"/>
        </w:rPr>
        <w:t>Severely reduced physiologic periprandial responsiveness, consistent with marked attenuation of secretion, suppression, or glycemic dynamic reactivity.</w:t>
      </w:r>
    </w:p>
    <w:p>
      <w:r>
        <w:rPr>
          <w:rFonts w:ascii="Times New Roman" w:hAnsi="Times New Roman"/>
          <w:b/>
          <w:i w:val="0"/>
        </w:rPr>
        <w:t xml:space="preserve">Preferred statistical criteria: </w:t>
      </w:r>
      <w:r>
        <w:rPr>
          <w:rFonts w:ascii="Times New Roman" w:hAnsi="Times New Roman"/>
          <w:b w:val="0"/>
          <w:i w:val="0"/>
        </w:rPr>
        <w:t>Assign Blunted when: one or more primary coordinates fall in the extreme lower tail; and the temporal-shape structure is markedly flattened, delayed, or otherwise severely attenuated.</w:t>
      </w:r>
    </w:p>
    <w:p>
      <w:r>
        <w:rPr>
          <w:rFonts w:ascii="Times New Roman" w:hAnsi="Times New Roman"/>
          <w:b/>
          <w:i w:val="0"/>
        </w:rPr>
        <w:t xml:space="preserve">Operational percentile fallback: </w:t>
      </w:r>
      <w:r>
        <w:rPr>
          <w:rFonts w:ascii="Times New Roman" w:hAnsi="Times New Roman"/>
          <w:b w:val="0"/>
          <w:i w:val="0"/>
        </w:rPr>
        <w:t>Basal and/or PC1: &lt;5th percentile; ξ₂ and/or ξ₃: marked deviation consistent with attenuated transition.</w:t>
      </w:r>
    </w:p>
    <w:p>
      <w:r>
        <w:rPr>
          <w:rFonts w:ascii="Times New Roman" w:hAnsi="Times New Roman"/>
          <w:b/>
          <w:i/>
        </w:rPr>
        <w:t xml:space="preserve">Physiological note: </w:t>
      </w:r>
      <w:r>
        <w:rPr>
          <w:rFonts w:ascii="Times New Roman" w:hAnsi="Times New Roman"/>
          <w:b w:val="0"/>
          <w:i/>
        </w:rPr>
        <w:t>For glucose, use this label only when the dynamic excursion/regulation pattern is truly severely attenuated relative to reference; do not equate it automatically with severe hypoglycemia.</w:t>
      </w:r>
    </w:p>
    <w:p>
      <w:pPr>
        <w:pStyle w:val="Heading2"/>
      </w:pPr>
      <w:r>
        <w:t>3.5. Borderline Altered</w:t>
      </w:r>
    </w:p>
    <w:p>
      <w:r>
        <w:rPr>
          <w:rFonts w:ascii="Times New Roman" w:hAnsi="Times New Roman"/>
          <w:b/>
          <w:i w:val="0"/>
        </w:rPr>
        <w:t xml:space="preserve">Definition: </w:t>
      </w:r>
      <w:r>
        <w:rPr>
          <w:rFonts w:ascii="Times New Roman" w:hAnsi="Times New Roman"/>
          <w:b w:val="0"/>
          <w:i/>
        </w:rPr>
        <w:t>The periprandial transition shows a mild upper-tail deviation in a pathophysiologically relevant direction.</w:t>
      </w:r>
    </w:p>
    <w:p>
      <w:r>
        <w:rPr>
          <w:rFonts w:ascii="Times New Roman" w:hAnsi="Times New Roman"/>
          <w:b/>
          <w:i w:val="0"/>
        </w:rPr>
        <w:t xml:space="preserve">Interpretation: </w:t>
      </w:r>
      <w:r>
        <w:rPr>
          <w:rFonts w:ascii="Times New Roman" w:hAnsi="Times New Roman"/>
          <w:b w:val="0"/>
          <w:i w:val="0"/>
        </w:rPr>
        <w:t>Mildly abnormal physiologic periprandial responsiveness, compatible with excessive excursion, inappropriate persistence, impaired suppression, or early dysregulation rather than preserved enhancement.</w:t>
      </w:r>
    </w:p>
    <w:p>
      <w:r>
        <w:rPr>
          <w:rFonts w:ascii="Times New Roman" w:hAnsi="Times New Roman"/>
          <w:b/>
          <w:i w:val="0"/>
        </w:rPr>
        <w:t xml:space="preserve">Preferred statistical criteria: </w:t>
      </w:r>
      <w:r>
        <w:rPr>
          <w:rFonts w:ascii="Times New Roman" w:hAnsi="Times New Roman"/>
          <w:b w:val="0"/>
          <w:i w:val="0"/>
        </w:rPr>
        <w:t>Assign Borderline Altered when: at least one pathophysiologically relevant primary coordinate falls in the mild upper-tail abnormal range; the pattern does not yet reach the severity required for Altered.</w:t>
      </w:r>
    </w:p>
    <w:p>
      <w:r>
        <w:rPr>
          <w:rFonts w:ascii="Times New Roman" w:hAnsi="Times New Roman"/>
          <w:b/>
          <w:i w:val="0"/>
        </w:rPr>
        <w:t xml:space="preserve">Operational percentile fallback: </w:t>
      </w:r>
      <w:r>
        <w:rPr>
          <w:rFonts w:ascii="Times New Roman" w:hAnsi="Times New Roman"/>
          <w:b w:val="0"/>
          <w:i w:val="0"/>
        </w:rPr>
        <w:t>Pathophysiologically relevant Basal and/or PC1: 75th–95th percentile; ξ₂ and/or ξ₃: upper-tail deviation consistent with dysregulated temporal redistribution or exaggerated structure.</w:t>
      </w:r>
    </w:p>
    <w:p>
      <w:r>
        <w:rPr>
          <w:rFonts w:ascii="Times New Roman" w:hAnsi="Times New Roman"/>
          <w:b/>
          <w:i/>
        </w:rPr>
        <w:t xml:space="preserve">Physiological note: </w:t>
      </w:r>
      <w:r>
        <w:rPr>
          <w:rFonts w:ascii="Times New Roman" w:hAnsi="Times New Roman"/>
          <w:b w:val="0"/>
          <w:i/>
        </w:rPr>
        <w:t>In primary disease characterization, this label is most relevant for: GIP, insulin, glucose, and contextually ghrelin. Upper-tail GLP-1 values in disease cohorts are not automatically pathological and should be interpreted cautiously.</w:t>
      </w:r>
    </w:p>
    <w:p>
      <w:pPr>
        <w:pStyle w:val="Heading2"/>
      </w:pPr>
      <w:r>
        <w:t>3.6. Altered</w:t>
      </w:r>
    </w:p>
    <w:p>
      <w:r>
        <w:rPr>
          <w:rFonts w:ascii="Times New Roman" w:hAnsi="Times New Roman"/>
          <w:b/>
          <w:i w:val="0"/>
        </w:rPr>
        <w:t xml:space="preserve">Definition: </w:t>
      </w:r>
      <w:r>
        <w:rPr>
          <w:rFonts w:ascii="Times New Roman" w:hAnsi="Times New Roman"/>
          <w:b w:val="0"/>
          <w:i/>
        </w:rPr>
        <w:t>The periprandial transition is clearly and pathophysiologically shifted above the Lean-Healthy reference.</w:t>
      </w:r>
    </w:p>
    <w:p>
      <w:r>
        <w:rPr>
          <w:rFonts w:ascii="Times New Roman" w:hAnsi="Times New Roman"/>
          <w:b/>
          <w:i w:val="0"/>
        </w:rPr>
        <w:t xml:space="preserve">Interpretation: </w:t>
      </w:r>
      <w:r>
        <w:rPr>
          <w:rFonts w:ascii="Times New Roman" w:hAnsi="Times New Roman"/>
          <w:b w:val="0"/>
          <w:i w:val="0"/>
        </w:rPr>
        <w:t>Markedly abnormal physiologic periprandial responsiveness, consistent with hyperresponsive, dysregulated, inappropriately persistent, or maladaptively elevated postprandial dynamics.</w:t>
      </w:r>
    </w:p>
    <w:p>
      <w:r>
        <w:rPr>
          <w:rFonts w:ascii="Times New Roman" w:hAnsi="Times New Roman"/>
          <w:b/>
          <w:i w:val="0"/>
        </w:rPr>
        <w:t xml:space="preserve">Preferred statistical criteria: </w:t>
      </w:r>
      <w:r>
        <w:rPr>
          <w:rFonts w:ascii="Times New Roman" w:hAnsi="Times New Roman"/>
          <w:b w:val="0"/>
          <w:i w:val="0"/>
        </w:rPr>
        <w:t>Assign Altered when: at least one pathophysiologically relevant primary coordinate lies in the extreme upper tail; and the profile is incompatible with reference-concordant physiology.</w:t>
      </w:r>
    </w:p>
    <w:p>
      <w:r>
        <w:rPr>
          <w:rFonts w:ascii="Times New Roman" w:hAnsi="Times New Roman"/>
          <w:b/>
          <w:i w:val="0"/>
        </w:rPr>
        <w:t xml:space="preserve">Operational percentile fallback: </w:t>
      </w:r>
      <w:r>
        <w:rPr>
          <w:rFonts w:ascii="Times New Roman" w:hAnsi="Times New Roman"/>
          <w:b w:val="0"/>
          <w:i w:val="0"/>
        </w:rPr>
        <w:t>Pathophysiologically relevant Basal and/or PC1: ≥95th percentile; ξ₂ and/or ξ₃: upper-tail deviation consistent with dysregulated temporal structure.</w:t>
      </w:r>
    </w:p>
    <w:p>
      <w:r>
        <w:rPr>
          <w:rFonts w:ascii="Times New Roman" w:hAnsi="Times New Roman"/>
          <w:b/>
          <w:i/>
        </w:rPr>
        <w:t xml:space="preserve">Physiological note: </w:t>
      </w:r>
      <w:r>
        <w:rPr>
          <w:rFonts w:ascii="Times New Roman" w:hAnsi="Times New Roman"/>
          <w:b w:val="0"/>
          <w:i/>
        </w:rPr>
        <w:t>Use this label primarily for: excessive GIP or dysregulated GIP dynamics; hyperinsulinemic patterns interpreted jointly with glucose; hyperglycemic excursion or prolonged late redistribution; and context-specific ghrelin excess.</w:t>
      </w:r>
    </w:p>
    <w:p>
      <w:pPr>
        <w:pStyle w:val="Heading2"/>
      </w:pPr>
      <w:r>
        <w:t>3.7. Statistical Note for Primary PTPs</w:t>
      </w:r>
    </w:p>
    <w:p>
      <w:r>
        <w:rPr>
          <w:rFonts w:ascii="Times New Roman" w:hAnsi="Times New Roman"/>
          <w:b w:val="0"/>
          <w:i w:val="0"/>
        </w:rPr>
        <w:t>For primary disease characterization, upper-tail classes should be applied only when excess is pathophysiologically meaningful for that analyte in that context. Do not automatically classify high GLP-1 as "Altered" in cross-sectional disease data unless there is clear biological justification. The incretin effect in type 2 diabetes is known to be impaired for GIP but relatively preserved for GLP-1 (Nauck &amp; Müller, 2023), and elevated GLP-1 concentrations post-bariatric surgery represent physiologically coherent enhancement rather than dysregulation (Laferrère, 2011; Pournaras et al., 2010).</w:t>
      </w:r>
    </w:p>
    <w:p>
      <w:r>
        <w:br w:type="page"/>
      </w:r>
    </w:p>
    <w:p>
      <w:pPr>
        <w:pStyle w:val="Heading1"/>
      </w:pPr>
      <w:r>
        <w:t>4. Secondary Enteropancreatic Periprandial Transition Profiles</w:t>
      </w:r>
    </w:p>
    <w:p>
      <w:pPr>
        <w:spacing w:after="240"/>
      </w:pPr>
      <w:r>
        <w:rPr>
          <w:rFonts w:ascii="Times New Roman" w:hAnsi="Times New Roman"/>
          <w:b w:val="0"/>
          <w:i w:val="0"/>
        </w:rPr>
        <w:t>Secondary PTPs classify post-intervention profiles following caloric restriction, bariatric surgery, pharmacotherapy, or other therapeutic interventions. Classification depends on: (a) the post-intervention position relative to the Lean-Healthy reference, and (b) the direction of change relative to the pre-intervention state. Weight loss is treated as a contextual modifier, not a hard gate.</w:t>
      </w:r>
    </w:p>
    <w:p>
      <w:pPr>
        <w:pStyle w:val="Heading2"/>
      </w:pPr>
      <w:r>
        <w:t>4.1. Preserved (Secondary)</w:t>
      </w:r>
    </w:p>
    <w:p>
      <w:r>
        <w:rPr>
          <w:rFonts w:ascii="Times New Roman" w:hAnsi="Times New Roman"/>
          <w:b/>
          <w:i w:val="0"/>
        </w:rPr>
        <w:t xml:space="preserve">Definition: </w:t>
      </w:r>
      <w:r>
        <w:rPr>
          <w:rFonts w:ascii="Times New Roman" w:hAnsi="Times New Roman"/>
          <w:b w:val="0"/>
          <w:i/>
        </w:rPr>
        <w:t>A reference-concordant profile remains reference-concordant after intervention.</w:t>
      </w:r>
    </w:p>
    <w:p>
      <w:r>
        <w:rPr>
          <w:rFonts w:ascii="Times New Roman" w:hAnsi="Times New Roman"/>
          <w:b/>
          <w:i w:val="0"/>
        </w:rPr>
        <w:t xml:space="preserve">Interpretation: </w:t>
      </w:r>
      <w:r>
        <w:rPr>
          <w:rFonts w:ascii="Times New Roman" w:hAnsi="Times New Roman"/>
          <w:b w:val="0"/>
          <w:i w:val="0"/>
        </w:rPr>
        <w:t>Preserved physiologic periprandial responsiveness is maintained post-intervention.</w:t>
      </w:r>
    </w:p>
    <w:p>
      <w:r>
        <w:rPr>
          <w:rFonts w:ascii="Times New Roman" w:hAnsi="Times New Roman"/>
          <w:b/>
          <w:i w:val="0"/>
        </w:rPr>
        <w:t xml:space="preserve">Criteria: </w:t>
      </w:r>
      <w:r>
        <w:rPr>
          <w:rFonts w:ascii="Times New Roman" w:hAnsi="Times New Roman"/>
          <w:b w:val="0"/>
          <w:i w:val="0"/>
        </w:rPr>
        <w:t>Assign Preserved when: the post-intervention profile is reference-concordant; the pre-intervention profile was already preserved; no meaningful deterioration or exaggerated shift is present post-intervention.</w:t>
      </w:r>
    </w:p>
    <w:p>
      <w:r>
        <w:rPr>
          <w:rFonts w:ascii="Times New Roman" w:hAnsi="Times New Roman"/>
          <w:b/>
          <w:i w:val="0"/>
        </w:rPr>
        <w:t xml:space="preserve">Operational percentile fallback: </w:t>
      </w:r>
      <w:r>
        <w:rPr>
          <w:rFonts w:ascii="Times New Roman" w:hAnsi="Times New Roman"/>
          <w:b w:val="0"/>
          <w:i w:val="0"/>
        </w:rPr>
        <w:t>Post-intervention Basal, PC1: 25th–75th percentile; ξ₂ and ξ₃: reference-compatible temporal-shape structure.</w:t>
      </w:r>
    </w:p>
    <w:p>
      <w:pPr>
        <w:pStyle w:val="Heading2"/>
      </w:pPr>
      <w:r>
        <w:t>4.2. Recovered</w:t>
      </w:r>
    </w:p>
    <w:p>
      <w:r>
        <w:rPr>
          <w:rFonts w:ascii="Times New Roman" w:hAnsi="Times New Roman"/>
          <w:b/>
          <w:i w:val="0"/>
        </w:rPr>
        <w:t xml:space="preserve">Definition: </w:t>
      </w:r>
      <w:r>
        <w:rPr>
          <w:rFonts w:ascii="Times New Roman" w:hAnsi="Times New Roman"/>
          <w:b w:val="0"/>
          <w:i/>
        </w:rPr>
        <w:t>A previously abnormal profile becomes reference-concordant after intervention.</w:t>
      </w:r>
    </w:p>
    <w:p>
      <w:r>
        <w:rPr>
          <w:rFonts w:ascii="Times New Roman" w:hAnsi="Times New Roman"/>
          <w:b/>
          <w:i w:val="0"/>
        </w:rPr>
        <w:t xml:space="preserve">Interpretation: </w:t>
      </w:r>
      <w:r>
        <w:rPr>
          <w:rFonts w:ascii="Times New Roman" w:hAnsi="Times New Roman"/>
          <w:b w:val="0"/>
          <w:i w:val="0"/>
        </w:rPr>
        <w:t>Restoration of physiologic periprandial responsiveness toward the Lean-Healthy reference.</w:t>
      </w:r>
    </w:p>
    <w:p>
      <w:r>
        <w:rPr>
          <w:rFonts w:ascii="Times New Roman" w:hAnsi="Times New Roman"/>
          <w:b/>
          <w:i w:val="0"/>
        </w:rPr>
        <w:t xml:space="preserve">Criteria: </w:t>
      </w:r>
      <w:r>
        <w:rPr>
          <w:rFonts w:ascii="Times New Roman" w:hAnsi="Times New Roman"/>
          <w:b w:val="0"/>
          <w:i w:val="0"/>
        </w:rPr>
        <w:t>Assign Recovered when: the pre-intervention profile was Borderline Impaired, Impaired, Blunted, Borderline Altered, or Altered; and the post-intervention profile shifts into the reference-concordant region.</w:t>
      </w:r>
    </w:p>
    <w:p>
      <w:r>
        <w:rPr>
          <w:rFonts w:ascii="Times New Roman" w:hAnsi="Times New Roman"/>
          <w:b/>
          <w:i w:val="0"/>
        </w:rPr>
        <w:t xml:space="preserve">Operational percentile fallback: </w:t>
      </w:r>
      <w:r>
        <w:rPr>
          <w:rFonts w:ascii="Times New Roman" w:hAnsi="Times New Roman"/>
          <w:b w:val="0"/>
          <w:i w:val="0"/>
        </w:rPr>
        <w:t>Post-intervention Basal, PC1: 25th–75th percentile; ξ₂ and ξ₃: reference-compatible. Explicit improvement from a previously abnormal state required.</w:t>
      </w:r>
    </w:p>
    <w:p>
      <w:pPr>
        <w:pStyle w:val="Heading2"/>
      </w:pPr>
      <w:r>
        <w:t>4.3. Borderline Impaired (Secondary)</w:t>
      </w:r>
    </w:p>
    <w:p>
      <w:r>
        <w:rPr>
          <w:rFonts w:ascii="Times New Roman" w:hAnsi="Times New Roman"/>
          <w:b/>
          <w:i w:val="0"/>
        </w:rPr>
        <w:t xml:space="preserve">Definition: </w:t>
      </w:r>
      <w:r>
        <w:rPr>
          <w:rFonts w:ascii="Times New Roman" w:hAnsi="Times New Roman"/>
          <w:b w:val="0"/>
          <w:i/>
        </w:rPr>
        <w:t>A mild lower-tail abnormality persists or emerges after intervention.</w:t>
      </w:r>
    </w:p>
    <w:p>
      <w:r>
        <w:rPr>
          <w:rFonts w:ascii="Times New Roman" w:hAnsi="Times New Roman"/>
          <w:b/>
          <w:i w:val="0"/>
        </w:rPr>
        <w:t xml:space="preserve">Interpretation: </w:t>
      </w:r>
      <w:r>
        <w:rPr>
          <w:rFonts w:ascii="Times New Roman" w:hAnsi="Times New Roman"/>
          <w:b w:val="0"/>
          <w:i w:val="0"/>
        </w:rPr>
        <w:t>Residual mild reduction in physiologic periprandial responsiveness despite treatment.</w:t>
      </w:r>
    </w:p>
    <w:p>
      <w:r>
        <w:rPr>
          <w:rFonts w:ascii="Times New Roman" w:hAnsi="Times New Roman"/>
          <w:b/>
          <w:i w:val="0"/>
        </w:rPr>
        <w:t xml:space="preserve">Criteria: </w:t>
      </w:r>
      <w:r>
        <w:rPr>
          <w:rFonts w:ascii="Times New Roman" w:hAnsi="Times New Roman"/>
          <w:b w:val="0"/>
          <w:i w:val="0"/>
        </w:rPr>
        <w:t>Assign Borderline Impaired when: post-intervention lower-tail abnormality remains in the mild range.</w:t>
      </w:r>
    </w:p>
    <w:p>
      <w:r>
        <w:rPr>
          <w:rFonts w:ascii="Times New Roman" w:hAnsi="Times New Roman"/>
          <w:b/>
          <w:i w:val="0"/>
        </w:rPr>
        <w:t xml:space="preserve">Operational percentile fallback: </w:t>
      </w:r>
      <w:r>
        <w:rPr>
          <w:rFonts w:ascii="Times New Roman" w:hAnsi="Times New Roman"/>
          <w:b w:val="0"/>
          <w:i w:val="0"/>
        </w:rPr>
        <w:t>Post-intervention Basal and/or PC1: 10th–25th percentile; ξ₂ and/or ξ₃: mild lower-tail deviation.</w:t>
      </w:r>
    </w:p>
    <w:p>
      <w:pPr>
        <w:pStyle w:val="Heading2"/>
      </w:pPr>
      <w:r>
        <w:t>4.4. Impaired (Secondary)</w:t>
      </w:r>
    </w:p>
    <w:p>
      <w:r>
        <w:rPr>
          <w:rFonts w:ascii="Times New Roman" w:hAnsi="Times New Roman"/>
          <w:b/>
          <w:i w:val="0"/>
        </w:rPr>
        <w:t xml:space="preserve">Definition: </w:t>
      </w:r>
      <w:r>
        <w:rPr>
          <w:rFonts w:ascii="Times New Roman" w:hAnsi="Times New Roman"/>
          <w:b w:val="0"/>
          <w:i/>
        </w:rPr>
        <w:t>A moderate lower-tail abnormality persists after intervention.</w:t>
      </w:r>
    </w:p>
    <w:p>
      <w:r>
        <w:rPr>
          <w:rFonts w:ascii="Times New Roman" w:hAnsi="Times New Roman"/>
          <w:b/>
          <w:i w:val="0"/>
        </w:rPr>
        <w:t xml:space="preserve">Interpretation: </w:t>
      </w:r>
      <w:r>
        <w:rPr>
          <w:rFonts w:ascii="Times New Roman" w:hAnsi="Times New Roman"/>
          <w:b w:val="0"/>
          <w:i w:val="0"/>
        </w:rPr>
        <w:t>Persistent moderate reduction in physiologic periprandial responsiveness despite treatment.</w:t>
      </w:r>
    </w:p>
    <w:p>
      <w:r>
        <w:rPr>
          <w:rFonts w:ascii="Times New Roman" w:hAnsi="Times New Roman"/>
          <w:b/>
          <w:i w:val="0"/>
        </w:rPr>
        <w:t xml:space="preserve">Criteria: </w:t>
      </w:r>
      <w:r>
        <w:rPr>
          <w:rFonts w:ascii="Times New Roman" w:hAnsi="Times New Roman"/>
          <w:b w:val="0"/>
          <w:i w:val="0"/>
        </w:rPr>
        <w:t>Assign Impaired when: post-intervention moderate lower-tail deviation remains; the profile remains clearly abnormal but not severely attenuated.</w:t>
      </w:r>
    </w:p>
    <w:p>
      <w:r>
        <w:rPr>
          <w:rFonts w:ascii="Times New Roman" w:hAnsi="Times New Roman"/>
          <w:b/>
          <w:i w:val="0"/>
        </w:rPr>
        <w:t xml:space="preserve">Operational percentile fallback: </w:t>
      </w:r>
      <w:r>
        <w:rPr>
          <w:rFonts w:ascii="Times New Roman" w:hAnsi="Times New Roman"/>
          <w:b w:val="0"/>
          <w:i w:val="0"/>
        </w:rPr>
        <w:t>Post-intervention Basal and/or PC1: 5th–10th percentile; ξ₂ and/or ξ₃: moderate lower-tail deviation.</w:t>
      </w:r>
    </w:p>
    <w:p>
      <w:pPr>
        <w:pStyle w:val="Heading2"/>
      </w:pPr>
      <w:r>
        <w:t>4.5. Blunted (Secondary)</w:t>
      </w:r>
    </w:p>
    <w:p>
      <w:r>
        <w:rPr>
          <w:rFonts w:ascii="Times New Roman" w:hAnsi="Times New Roman"/>
          <w:b/>
          <w:i w:val="0"/>
        </w:rPr>
        <w:t xml:space="preserve">Definition: </w:t>
      </w:r>
      <w:r>
        <w:rPr>
          <w:rFonts w:ascii="Times New Roman" w:hAnsi="Times New Roman"/>
          <w:b w:val="0"/>
          <w:i/>
        </w:rPr>
        <w:t>A severe lower-tail abnormality persists after intervention.</w:t>
      </w:r>
    </w:p>
    <w:p>
      <w:r>
        <w:rPr>
          <w:rFonts w:ascii="Times New Roman" w:hAnsi="Times New Roman"/>
          <w:b/>
          <w:i w:val="0"/>
        </w:rPr>
        <w:t xml:space="preserve">Interpretation: </w:t>
      </w:r>
      <w:r>
        <w:rPr>
          <w:rFonts w:ascii="Times New Roman" w:hAnsi="Times New Roman"/>
          <w:b w:val="0"/>
          <w:i w:val="0"/>
        </w:rPr>
        <w:t>Markedly attenuated physiologic periprandial responsiveness despite treatment.</w:t>
      </w:r>
    </w:p>
    <w:p>
      <w:r>
        <w:rPr>
          <w:rFonts w:ascii="Times New Roman" w:hAnsi="Times New Roman"/>
          <w:b/>
          <w:i w:val="0"/>
        </w:rPr>
        <w:t xml:space="preserve">Criteria: </w:t>
      </w:r>
      <w:r>
        <w:rPr>
          <w:rFonts w:ascii="Times New Roman" w:hAnsi="Times New Roman"/>
          <w:b w:val="0"/>
          <w:i w:val="0"/>
        </w:rPr>
        <w:t>Assign Blunted when: post-intervention one or more primary axes remain &lt;5th percentile; and severe attenuation persists despite intervention.</w:t>
      </w:r>
    </w:p>
    <w:p>
      <w:r>
        <w:rPr>
          <w:rFonts w:ascii="Times New Roman" w:hAnsi="Times New Roman"/>
          <w:b/>
          <w:i w:val="0"/>
        </w:rPr>
        <w:t xml:space="preserve">Operational percentile fallback: </w:t>
      </w:r>
      <w:r>
        <w:rPr>
          <w:rFonts w:ascii="Times New Roman" w:hAnsi="Times New Roman"/>
          <w:b w:val="0"/>
          <w:i w:val="0"/>
        </w:rPr>
        <w:t>Post-intervention Basal and/or PC1: &lt;5th percentile; ξ₂ and/or ξ₃: marked lower-tail deviation.</w:t>
      </w:r>
    </w:p>
    <w:p>
      <w:pPr>
        <w:pStyle w:val="Heading2"/>
      </w:pPr>
      <w:r>
        <w:t>4.6. Borderline Altered (Secondary)</w:t>
      </w:r>
    </w:p>
    <w:p>
      <w:r>
        <w:rPr>
          <w:rFonts w:ascii="Times New Roman" w:hAnsi="Times New Roman"/>
          <w:b/>
          <w:i w:val="0"/>
        </w:rPr>
        <w:t xml:space="preserve">Definition: </w:t>
      </w:r>
      <w:r>
        <w:rPr>
          <w:rFonts w:ascii="Times New Roman" w:hAnsi="Times New Roman"/>
          <w:b w:val="0"/>
          <w:i/>
        </w:rPr>
        <w:t>A mild upper-tail dysregulated pattern persists or emerges after intervention.</w:t>
      </w:r>
    </w:p>
    <w:p>
      <w:r>
        <w:rPr>
          <w:rFonts w:ascii="Times New Roman" w:hAnsi="Times New Roman"/>
          <w:b/>
          <w:i w:val="0"/>
        </w:rPr>
        <w:t xml:space="preserve">Interpretation: </w:t>
      </w:r>
      <w:r>
        <w:rPr>
          <w:rFonts w:ascii="Times New Roman" w:hAnsi="Times New Roman"/>
          <w:b w:val="0"/>
          <w:i w:val="0"/>
        </w:rPr>
        <w:t>Residual or emerging mild pathophysiologic exaggeration or dysregulation of physiologic periprandial responsiveness after treatment.</w:t>
      </w:r>
    </w:p>
    <w:p>
      <w:r>
        <w:rPr>
          <w:rFonts w:ascii="Times New Roman" w:hAnsi="Times New Roman"/>
          <w:b/>
          <w:i w:val="0"/>
        </w:rPr>
        <w:t xml:space="preserve">Criteria: </w:t>
      </w:r>
      <w:r>
        <w:rPr>
          <w:rFonts w:ascii="Times New Roman" w:hAnsi="Times New Roman"/>
          <w:b w:val="0"/>
          <w:i w:val="0"/>
        </w:rPr>
        <w:t>Assign Borderline Altered when: post-intervention upper-tail deviation is present in the mild abnormal range; the profile is not best interpreted as physiologically coherent enhancement.</w:t>
      </w:r>
    </w:p>
    <w:p>
      <w:r>
        <w:rPr>
          <w:rFonts w:ascii="Times New Roman" w:hAnsi="Times New Roman"/>
          <w:b/>
          <w:i w:val="0"/>
        </w:rPr>
        <w:t xml:space="preserve">Operational percentile fallback: </w:t>
      </w:r>
      <w:r>
        <w:rPr>
          <w:rFonts w:ascii="Times New Roman" w:hAnsi="Times New Roman"/>
          <w:b w:val="0"/>
          <w:i w:val="0"/>
        </w:rPr>
        <w:t>Post-intervention pathophysiologically relevant Basal and/or PC1: 75th–95th percentile; ξ₂ and/or ξ₃: upper-tail dysregulated deviation.</w:t>
      </w:r>
    </w:p>
    <w:p>
      <w:pPr>
        <w:pStyle w:val="Heading2"/>
      </w:pPr>
      <w:r>
        <w:t>4.7. Altered (Secondary)</w:t>
      </w:r>
    </w:p>
    <w:p>
      <w:r>
        <w:rPr>
          <w:rFonts w:ascii="Times New Roman" w:hAnsi="Times New Roman"/>
          <w:b/>
          <w:i w:val="0"/>
        </w:rPr>
        <w:t xml:space="preserve">Definition: </w:t>
      </w:r>
      <w:r>
        <w:rPr>
          <w:rFonts w:ascii="Times New Roman" w:hAnsi="Times New Roman"/>
          <w:b w:val="0"/>
          <w:i/>
        </w:rPr>
        <w:t>A marked upper-tail dysregulated pattern persists or emerges after intervention.</w:t>
      </w:r>
    </w:p>
    <w:p>
      <w:r>
        <w:rPr>
          <w:rFonts w:ascii="Times New Roman" w:hAnsi="Times New Roman"/>
          <w:b/>
          <w:i w:val="0"/>
        </w:rPr>
        <w:t xml:space="preserve">Interpretation: </w:t>
      </w:r>
      <w:r>
        <w:rPr>
          <w:rFonts w:ascii="Times New Roman" w:hAnsi="Times New Roman"/>
          <w:b w:val="0"/>
          <w:i w:val="0"/>
        </w:rPr>
        <w:t>Persistent or newly emergent pathophysiologic excess, mismatch, or dysregulation of physiologic periprandial responsiveness after treatment.</w:t>
      </w:r>
    </w:p>
    <w:p>
      <w:r>
        <w:rPr>
          <w:rFonts w:ascii="Times New Roman" w:hAnsi="Times New Roman"/>
          <w:b/>
          <w:i w:val="0"/>
        </w:rPr>
        <w:t xml:space="preserve">Criteria: </w:t>
      </w:r>
      <w:r>
        <w:rPr>
          <w:rFonts w:ascii="Times New Roman" w:hAnsi="Times New Roman"/>
          <w:b w:val="0"/>
          <w:i w:val="0"/>
        </w:rPr>
        <w:t>Assign Altered when: post-intervention upper-tail deviation reaches the extreme abnormal range; the pattern is incompatible with physiologically coherent recovery or enhancement.</w:t>
      </w:r>
    </w:p>
    <w:p>
      <w:r>
        <w:rPr>
          <w:rFonts w:ascii="Times New Roman" w:hAnsi="Times New Roman"/>
          <w:b/>
          <w:i w:val="0"/>
        </w:rPr>
        <w:t xml:space="preserve">Operational percentile fallback: </w:t>
      </w:r>
      <w:r>
        <w:rPr>
          <w:rFonts w:ascii="Times New Roman" w:hAnsi="Times New Roman"/>
          <w:b w:val="0"/>
          <w:i w:val="0"/>
        </w:rPr>
        <w:t>Post-intervention pathophysiologically relevant Basal and/or PC1: ≥95th percentile; ξ₂ and/or ξ₃: marked upper-tail dysregulated deviation.</w:t>
      </w:r>
    </w:p>
    <w:p>
      <w:pPr>
        <w:pStyle w:val="Heading2"/>
      </w:pPr>
      <w:r>
        <w:t>4.8. Borderline Enhanced</w:t>
      </w:r>
    </w:p>
    <w:p>
      <w:r>
        <w:rPr>
          <w:rFonts w:ascii="Times New Roman" w:hAnsi="Times New Roman"/>
          <w:b/>
          <w:i w:val="0"/>
        </w:rPr>
        <w:t xml:space="preserve">Definition: </w:t>
      </w:r>
      <w:r>
        <w:rPr>
          <w:rFonts w:ascii="Times New Roman" w:hAnsi="Times New Roman"/>
          <w:b w:val="0"/>
          <w:i/>
        </w:rPr>
        <w:t>A post-intervention supraphysiologic increase is present but remains physiologically coherent.</w:t>
      </w:r>
    </w:p>
    <w:p>
      <w:r>
        <w:rPr>
          <w:rFonts w:ascii="Times New Roman" w:hAnsi="Times New Roman"/>
          <w:b/>
          <w:i w:val="0"/>
        </w:rPr>
        <w:t xml:space="preserve">Interpretation: </w:t>
      </w:r>
      <w:r>
        <w:rPr>
          <w:rFonts w:ascii="Times New Roman" w:hAnsi="Times New Roman"/>
          <w:b w:val="0"/>
          <w:i w:val="0"/>
        </w:rPr>
        <w:t>Mildly supraphysiologic physiologic periprandial responsiveness, typically seen after effective intervention, especially for incretin and satiety axes.</w:t>
      </w:r>
    </w:p>
    <w:p>
      <w:r>
        <w:rPr>
          <w:rFonts w:ascii="Times New Roman" w:hAnsi="Times New Roman"/>
          <w:b/>
          <w:i w:val="0"/>
        </w:rPr>
        <w:t xml:space="preserve">Criteria: </w:t>
      </w:r>
      <w:r>
        <w:rPr>
          <w:rFonts w:ascii="Times New Roman" w:hAnsi="Times New Roman"/>
          <w:b w:val="0"/>
          <w:i w:val="0"/>
        </w:rPr>
        <w:t>Assign Borderline Enhanced when: the post-intervention profile lies in the mild upper tail; the increase is physiologically coherent rather than dysregulated; glucose remains preserved or recovered; and the analyte context supports enhancement rather than alteration.</w:t>
      </w:r>
    </w:p>
    <w:p>
      <w:r>
        <w:rPr>
          <w:rFonts w:ascii="Times New Roman" w:hAnsi="Times New Roman"/>
          <w:b/>
          <w:i w:val="0"/>
        </w:rPr>
        <w:t xml:space="preserve">Operational percentile fallback: </w:t>
      </w:r>
      <w:r>
        <w:rPr>
          <w:rFonts w:ascii="Times New Roman" w:hAnsi="Times New Roman"/>
          <w:b w:val="0"/>
          <w:i w:val="0"/>
        </w:rPr>
        <w:t>Post-intervention PC1: 75th–95th percentile; Reference-compatible or adaptive ξ₂/ξ₃ behavior; Preserved or recovered glucose context required when relevant.</w:t>
      </w:r>
    </w:p>
    <w:p>
      <w:r>
        <w:rPr>
          <w:rFonts w:ascii="Times New Roman" w:hAnsi="Times New Roman"/>
          <w:b/>
          <w:i/>
        </w:rPr>
        <w:t xml:space="preserve">Physiological note: </w:t>
      </w:r>
      <w:r>
        <w:rPr>
          <w:rFonts w:ascii="Times New Roman" w:hAnsi="Times New Roman"/>
          <w:b w:val="0"/>
          <w:i/>
        </w:rPr>
        <w:t>This label is most appropriate for: GLP-1 and contextually insulin, only when glucose is preserved or recovered. Post-RYGB GLP-1 amplification with preserved glycemia exemplifies this category (Pournaras et al., 2010; Bojsen-Møller et al., 2015).</w:t>
      </w:r>
    </w:p>
    <w:p>
      <w:pPr>
        <w:pStyle w:val="Heading2"/>
      </w:pPr>
      <w:r>
        <w:t>4.9. Enhanced</w:t>
      </w:r>
    </w:p>
    <w:p>
      <w:r>
        <w:rPr>
          <w:rFonts w:ascii="Times New Roman" w:hAnsi="Times New Roman"/>
          <w:b/>
          <w:i w:val="0"/>
        </w:rPr>
        <w:t xml:space="preserve">Definition: </w:t>
      </w:r>
      <w:r>
        <w:rPr>
          <w:rFonts w:ascii="Times New Roman" w:hAnsi="Times New Roman"/>
          <w:b w:val="0"/>
          <w:i/>
        </w:rPr>
        <w:t>A marked post-intervention supraphysiologic increase is present and remains physiologically coherent.</w:t>
      </w:r>
    </w:p>
    <w:p>
      <w:r>
        <w:rPr>
          <w:rFonts w:ascii="Times New Roman" w:hAnsi="Times New Roman"/>
          <w:b/>
          <w:i w:val="0"/>
        </w:rPr>
        <w:t xml:space="preserve">Interpretation: </w:t>
      </w:r>
      <w:r>
        <w:rPr>
          <w:rFonts w:ascii="Times New Roman" w:hAnsi="Times New Roman"/>
          <w:b w:val="0"/>
          <w:i w:val="0"/>
        </w:rPr>
        <w:t>Markedly increased but physiologically coherent physiologic periprandial responsiveness, often compatible with post-bariatric incretin/satiety amplification.</w:t>
      </w:r>
    </w:p>
    <w:p>
      <w:r>
        <w:rPr>
          <w:rFonts w:ascii="Times New Roman" w:hAnsi="Times New Roman"/>
          <w:b/>
          <w:i w:val="0"/>
        </w:rPr>
        <w:t xml:space="preserve">Criteria: </w:t>
      </w:r>
      <w:r>
        <w:rPr>
          <w:rFonts w:ascii="Times New Roman" w:hAnsi="Times New Roman"/>
          <w:b w:val="0"/>
          <w:i w:val="0"/>
        </w:rPr>
        <w:t>Assign Enhanced when: the post-intervention profile lies in the extreme upper tail; the increase is physiologically coherent rather than dysregulated; glucose is preserved or recovered; and the analyte context supports enhancement.</w:t>
      </w:r>
    </w:p>
    <w:p>
      <w:r>
        <w:rPr>
          <w:rFonts w:ascii="Times New Roman" w:hAnsi="Times New Roman"/>
          <w:b/>
          <w:i w:val="0"/>
        </w:rPr>
        <w:t xml:space="preserve">Operational percentile fallback: </w:t>
      </w:r>
      <w:r>
        <w:rPr>
          <w:rFonts w:ascii="Times New Roman" w:hAnsi="Times New Roman"/>
          <w:b w:val="0"/>
          <w:i w:val="0"/>
        </w:rPr>
        <w:t>Post-intervention PC1: ≥95th percentile; Reference-compatible or adaptively shifted ξ₂/ξ₃; Preserved or recovered glucose context required when relevant.</w:t>
      </w:r>
    </w:p>
    <w:p>
      <w:r>
        <w:rPr>
          <w:rFonts w:ascii="Times New Roman" w:hAnsi="Times New Roman"/>
          <w:b/>
          <w:i/>
        </w:rPr>
        <w:t xml:space="preserve">Physiological note: </w:t>
      </w:r>
      <w:r>
        <w:rPr>
          <w:rFonts w:ascii="Times New Roman" w:hAnsi="Times New Roman"/>
          <w:b w:val="0"/>
          <w:i/>
        </w:rPr>
        <w:t>Reserve Enhanced mainly for: GLP-1 and carefully selected insulin responses with preserved glycemic regulation. Do not use "Enhanced" if the accompanying glucose pattern is altered or dysglycemic. In that setting, classify the profile as Altered, not Enhanced.</w:t>
      </w:r>
    </w:p>
    <w:p>
      <w:r>
        <w:br w:type="page"/>
      </w:r>
    </w:p>
    <w:p>
      <w:pPr>
        <w:pStyle w:val="Heading1"/>
      </w:pPr>
      <w:r>
        <w:t>5. Summary of Percentile-Based Operational Thresholds</w:t>
      </w:r>
    </w:p>
    <w:p>
      <w:pPr>
        <w:pStyle w:val="Heading2"/>
      </w:pPr>
      <w:r>
        <w:t>5.1 Primary PTP Thresholds (Cross-Sectional)</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016"/>
            <w:shd w:fill="1B3A5C" w:val="clear"/>
            <w:vAlign w:val="center"/>
          </w:tcPr>
          <w:p>
            <w:pPr>
              <w:jc w:val="center"/>
            </w:pPr>
            <w:r/>
            <w:r>
              <w:rPr>
                <w:rFonts w:ascii="Times New Roman" w:hAnsi="Times New Roman"/>
                <w:b/>
                <w:color w:val="FFFFFF"/>
                <w:sz w:val="18"/>
              </w:rPr>
              <w:t>PTP Class</w:t>
            </w:r>
          </w:p>
        </w:tc>
        <w:tc>
          <w:tcPr>
            <w:tcW w:type="dxa" w:w="1008"/>
            <w:shd w:fill="1B3A5C" w:val="clear"/>
            <w:vAlign w:val="center"/>
          </w:tcPr>
          <w:p>
            <w:pPr>
              <w:jc w:val="center"/>
            </w:pPr>
            <w:r/>
            <w:r>
              <w:rPr>
                <w:rFonts w:ascii="Times New Roman" w:hAnsi="Times New Roman"/>
                <w:b/>
                <w:color w:val="FFFFFF"/>
                <w:sz w:val="18"/>
              </w:rPr>
              <w:t>Tail</w:t>
            </w:r>
          </w:p>
        </w:tc>
        <w:tc>
          <w:tcPr>
            <w:tcW w:type="dxa" w:w="1728"/>
            <w:shd w:fill="1B3A5C" w:val="clear"/>
            <w:vAlign w:val="center"/>
          </w:tcPr>
          <w:p>
            <w:pPr>
              <w:jc w:val="center"/>
            </w:pPr>
            <w:r/>
            <w:r>
              <w:rPr>
                <w:rFonts w:ascii="Times New Roman" w:hAnsi="Times New Roman"/>
                <w:b/>
                <w:color w:val="FFFFFF"/>
                <w:sz w:val="18"/>
              </w:rPr>
              <w:t>Basal / PC1</w:t>
            </w:r>
          </w:p>
        </w:tc>
        <w:tc>
          <w:tcPr>
            <w:tcW w:type="dxa" w:w="2304"/>
            <w:shd w:fill="1B3A5C" w:val="clear"/>
            <w:vAlign w:val="center"/>
          </w:tcPr>
          <w:p>
            <w:pPr>
              <w:jc w:val="center"/>
            </w:pPr>
            <w:r/>
            <w:r>
              <w:rPr>
                <w:rFonts w:ascii="Times New Roman" w:hAnsi="Times New Roman"/>
                <w:b/>
                <w:color w:val="FFFFFF"/>
                <w:sz w:val="18"/>
              </w:rPr>
              <w:t>ξ₂ / ξ₃</w:t>
            </w:r>
          </w:p>
        </w:tc>
        <w:tc>
          <w:tcPr>
            <w:tcW w:type="dxa" w:w="2304"/>
            <w:shd w:fill="1B3A5C" w:val="clear"/>
            <w:vAlign w:val="center"/>
          </w:tcPr>
          <w:p>
            <w:pPr>
              <w:jc w:val="center"/>
            </w:pPr>
            <w:r/>
            <w:r>
              <w:rPr>
                <w:rFonts w:ascii="Times New Roman" w:hAnsi="Times New Roman"/>
                <w:b/>
                <w:color w:val="FFFFFF"/>
                <w:sz w:val="18"/>
              </w:rPr>
              <w:t>Interpretation</w:t>
            </w:r>
          </w:p>
        </w:tc>
      </w:tr>
      <w:tr>
        <w:tc>
          <w:tcPr>
            <w:tcW w:type="dxa" w:w="2016"/>
            <w:vAlign w:val="center"/>
            <w:shd w:fill="EDF2F7" w:val="clear"/>
          </w:tcPr>
          <w:p>
            <w:r/>
            <w:r>
              <w:rPr>
                <w:rFonts w:ascii="Times New Roman" w:hAnsi="Times New Roman"/>
                <w:sz w:val="18"/>
              </w:rPr>
              <w:t>Preserved</w:t>
            </w:r>
          </w:p>
        </w:tc>
        <w:tc>
          <w:tcPr>
            <w:tcW w:type="dxa" w:w="1008"/>
            <w:vAlign w:val="center"/>
            <w:shd w:fill="EDF2F7" w:val="clear"/>
          </w:tcPr>
          <w:p>
            <w:r/>
            <w:r>
              <w:rPr>
                <w:rFonts w:ascii="Times New Roman" w:hAnsi="Times New Roman"/>
                <w:sz w:val="18"/>
              </w:rPr>
              <w:t>Central</w:t>
            </w:r>
          </w:p>
        </w:tc>
        <w:tc>
          <w:tcPr>
            <w:tcW w:type="dxa" w:w="1728"/>
            <w:vAlign w:val="center"/>
            <w:shd w:fill="EDF2F7" w:val="clear"/>
          </w:tcPr>
          <w:p>
            <w:r/>
            <w:r>
              <w:rPr>
                <w:rFonts w:ascii="Times New Roman" w:hAnsi="Times New Roman"/>
                <w:sz w:val="18"/>
              </w:rPr>
              <w:t>25th–75th</w:t>
            </w:r>
          </w:p>
        </w:tc>
        <w:tc>
          <w:tcPr>
            <w:tcW w:type="dxa" w:w="2304"/>
            <w:vAlign w:val="center"/>
            <w:shd w:fill="EDF2F7" w:val="clear"/>
          </w:tcPr>
          <w:p>
            <w:r/>
            <w:r>
              <w:rPr>
                <w:rFonts w:ascii="Times New Roman" w:hAnsi="Times New Roman"/>
                <w:sz w:val="18"/>
              </w:rPr>
              <w:t>Central reference</w:t>
            </w:r>
          </w:p>
        </w:tc>
        <w:tc>
          <w:tcPr>
            <w:tcW w:type="dxa" w:w="2304"/>
            <w:vAlign w:val="center"/>
            <w:shd w:fill="EDF2F7" w:val="clear"/>
          </w:tcPr>
          <w:p>
            <w:r/>
            <w:r>
              <w:rPr>
                <w:rFonts w:ascii="Times New Roman" w:hAnsi="Times New Roman"/>
                <w:sz w:val="18"/>
              </w:rPr>
              <w:t>Reference-concordant</w:t>
            </w:r>
          </w:p>
        </w:tc>
      </w:tr>
      <w:tr>
        <w:tc>
          <w:tcPr>
            <w:tcW w:type="dxa" w:w="2016"/>
            <w:vAlign w:val="center"/>
          </w:tcPr>
          <w:p>
            <w:r/>
            <w:r>
              <w:rPr>
                <w:rFonts w:ascii="Times New Roman" w:hAnsi="Times New Roman"/>
                <w:sz w:val="18"/>
              </w:rPr>
              <w:t>Borderline Impaired</w:t>
            </w:r>
          </w:p>
        </w:tc>
        <w:tc>
          <w:tcPr>
            <w:tcW w:type="dxa" w:w="1008"/>
            <w:vAlign w:val="center"/>
          </w:tcPr>
          <w:p>
            <w:r/>
            <w:r>
              <w:rPr>
                <w:rFonts w:ascii="Times New Roman" w:hAnsi="Times New Roman"/>
                <w:sz w:val="18"/>
              </w:rPr>
              <w:t>Lower</w:t>
            </w:r>
          </w:p>
        </w:tc>
        <w:tc>
          <w:tcPr>
            <w:tcW w:type="dxa" w:w="1728"/>
            <w:vAlign w:val="center"/>
          </w:tcPr>
          <w:p>
            <w:r/>
            <w:r>
              <w:rPr>
                <w:rFonts w:ascii="Times New Roman" w:hAnsi="Times New Roman"/>
                <w:sz w:val="18"/>
              </w:rPr>
              <w:t>10th–25th</w:t>
            </w:r>
          </w:p>
        </w:tc>
        <w:tc>
          <w:tcPr>
            <w:tcW w:type="dxa" w:w="2304"/>
            <w:vAlign w:val="center"/>
          </w:tcPr>
          <w:p>
            <w:r/>
            <w:r>
              <w:rPr>
                <w:rFonts w:ascii="Times New Roman" w:hAnsi="Times New Roman"/>
                <w:sz w:val="18"/>
              </w:rPr>
              <w:t>Mild lower deviation</w:t>
            </w:r>
          </w:p>
        </w:tc>
        <w:tc>
          <w:tcPr>
            <w:tcW w:type="dxa" w:w="2304"/>
            <w:vAlign w:val="center"/>
          </w:tcPr>
          <w:p>
            <w:r/>
            <w:r>
              <w:rPr>
                <w:rFonts w:ascii="Times New Roman" w:hAnsi="Times New Roman"/>
                <w:sz w:val="18"/>
              </w:rPr>
              <w:t>Mild impairment</w:t>
            </w:r>
          </w:p>
        </w:tc>
      </w:tr>
      <w:tr>
        <w:tc>
          <w:tcPr>
            <w:tcW w:type="dxa" w:w="2016"/>
            <w:vAlign w:val="center"/>
            <w:shd w:fill="EDF2F7" w:val="clear"/>
          </w:tcPr>
          <w:p>
            <w:r/>
            <w:r>
              <w:rPr>
                <w:rFonts w:ascii="Times New Roman" w:hAnsi="Times New Roman"/>
                <w:sz w:val="18"/>
              </w:rPr>
              <w:t>Impaired</w:t>
            </w:r>
          </w:p>
        </w:tc>
        <w:tc>
          <w:tcPr>
            <w:tcW w:type="dxa" w:w="1008"/>
            <w:vAlign w:val="center"/>
            <w:shd w:fill="EDF2F7" w:val="clear"/>
          </w:tcPr>
          <w:p>
            <w:r/>
            <w:r>
              <w:rPr>
                <w:rFonts w:ascii="Times New Roman" w:hAnsi="Times New Roman"/>
                <w:sz w:val="18"/>
              </w:rPr>
              <w:t>Lower</w:t>
            </w:r>
          </w:p>
        </w:tc>
        <w:tc>
          <w:tcPr>
            <w:tcW w:type="dxa" w:w="1728"/>
            <w:vAlign w:val="center"/>
            <w:shd w:fill="EDF2F7" w:val="clear"/>
          </w:tcPr>
          <w:p>
            <w:r/>
            <w:r>
              <w:rPr>
                <w:rFonts w:ascii="Times New Roman" w:hAnsi="Times New Roman"/>
                <w:sz w:val="18"/>
              </w:rPr>
              <w:t>5th–10th</w:t>
            </w:r>
          </w:p>
        </w:tc>
        <w:tc>
          <w:tcPr>
            <w:tcW w:type="dxa" w:w="2304"/>
            <w:vAlign w:val="center"/>
            <w:shd w:fill="EDF2F7" w:val="clear"/>
          </w:tcPr>
          <w:p>
            <w:r/>
            <w:r>
              <w:rPr>
                <w:rFonts w:ascii="Times New Roman" w:hAnsi="Times New Roman"/>
                <w:sz w:val="18"/>
              </w:rPr>
              <w:t>Moderate lower deviation</w:t>
            </w:r>
          </w:p>
        </w:tc>
        <w:tc>
          <w:tcPr>
            <w:tcW w:type="dxa" w:w="2304"/>
            <w:vAlign w:val="center"/>
            <w:shd w:fill="EDF2F7" w:val="clear"/>
          </w:tcPr>
          <w:p>
            <w:r/>
            <w:r>
              <w:rPr>
                <w:rFonts w:ascii="Times New Roman" w:hAnsi="Times New Roman"/>
                <w:sz w:val="18"/>
              </w:rPr>
              <w:t>Moderate impairment</w:t>
            </w:r>
          </w:p>
        </w:tc>
      </w:tr>
      <w:tr>
        <w:tc>
          <w:tcPr>
            <w:tcW w:type="dxa" w:w="2016"/>
            <w:vAlign w:val="center"/>
          </w:tcPr>
          <w:p>
            <w:r/>
            <w:r>
              <w:rPr>
                <w:rFonts w:ascii="Times New Roman" w:hAnsi="Times New Roman"/>
                <w:sz w:val="18"/>
              </w:rPr>
              <w:t>Blunted</w:t>
            </w:r>
          </w:p>
        </w:tc>
        <w:tc>
          <w:tcPr>
            <w:tcW w:type="dxa" w:w="1008"/>
            <w:vAlign w:val="center"/>
          </w:tcPr>
          <w:p>
            <w:r/>
            <w:r>
              <w:rPr>
                <w:rFonts w:ascii="Times New Roman" w:hAnsi="Times New Roman"/>
                <w:sz w:val="18"/>
              </w:rPr>
              <w:t>Lower</w:t>
            </w:r>
          </w:p>
        </w:tc>
        <w:tc>
          <w:tcPr>
            <w:tcW w:type="dxa" w:w="1728"/>
            <w:vAlign w:val="center"/>
          </w:tcPr>
          <w:p>
            <w:r/>
            <w:r>
              <w:rPr>
                <w:rFonts w:ascii="Times New Roman" w:hAnsi="Times New Roman"/>
                <w:sz w:val="18"/>
              </w:rPr>
              <w:t>&lt;5th</w:t>
            </w:r>
          </w:p>
        </w:tc>
        <w:tc>
          <w:tcPr>
            <w:tcW w:type="dxa" w:w="2304"/>
            <w:vAlign w:val="center"/>
          </w:tcPr>
          <w:p>
            <w:r/>
            <w:r>
              <w:rPr>
                <w:rFonts w:ascii="Times New Roman" w:hAnsi="Times New Roman"/>
                <w:sz w:val="18"/>
              </w:rPr>
              <w:t>Marked lower deviation</w:t>
            </w:r>
          </w:p>
        </w:tc>
        <w:tc>
          <w:tcPr>
            <w:tcW w:type="dxa" w:w="2304"/>
            <w:vAlign w:val="center"/>
          </w:tcPr>
          <w:p>
            <w:r/>
            <w:r>
              <w:rPr>
                <w:rFonts w:ascii="Times New Roman" w:hAnsi="Times New Roman"/>
                <w:sz w:val="18"/>
              </w:rPr>
              <w:t>Severe attenuation</w:t>
            </w:r>
          </w:p>
        </w:tc>
      </w:tr>
      <w:tr>
        <w:tc>
          <w:tcPr>
            <w:tcW w:type="dxa" w:w="2016"/>
            <w:vAlign w:val="center"/>
            <w:shd w:fill="EDF2F7" w:val="clear"/>
          </w:tcPr>
          <w:p>
            <w:r/>
            <w:r>
              <w:rPr>
                <w:rFonts w:ascii="Times New Roman" w:hAnsi="Times New Roman"/>
                <w:sz w:val="18"/>
              </w:rPr>
              <w:t>Borderline Altered</w:t>
            </w:r>
          </w:p>
        </w:tc>
        <w:tc>
          <w:tcPr>
            <w:tcW w:type="dxa" w:w="1008"/>
            <w:vAlign w:val="center"/>
            <w:shd w:fill="EDF2F7" w:val="clear"/>
          </w:tcPr>
          <w:p>
            <w:r/>
            <w:r>
              <w:rPr>
                <w:rFonts w:ascii="Times New Roman" w:hAnsi="Times New Roman"/>
                <w:sz w:val="18"/>
              </w:rPr>
              <w:t>Upper</w:t>
            </w:r>
          </w:p>
        </w:tc>
        <w:tc>
          <w:tcPr>
            <w:tcW w:type="dxa" w:w="1728"/>
            <w:vAlign w:val="center"/>
            <w:shd w:fill="EDF2F7" w:val="clear"/>
          </w:tcPr>
          <w:p>
            <w:r/>
            <w:r>
              <w:rPr>
                <w:rFonts w:ascii="Times New Roman" w:hAnsi="Times New Roman"/>
                <w:sz w:val="18"/>
              </w:rPr>
              <w:t>75th–95th</w:t>
            </w:r>
          </w:p>
        </w:tc>
        <w:tc>
          <w:tcPr>
            <w:tcW w:type="dxa" w:w="2304"/>
            <w:vAlign w:val="center"/>
            <w:shd w:fill="EDF2F7" w:val="clear"/>
          </w:tcPr>
          <w:p>
            <w:r/>
            <w:r>
              <w:rPr>
                <w:rFonts w:ascii="Times New Roman" w:hAnsi="Times New Roman"/>
                <w:sz w:val="18"/>
              </w:rPr>
              <w:t>Mild upper deviation</w:t>
            </w:r>
          </w:p>
        </w:tc>
        <w:tc>
          <w:tcPr>
            <w:tcW w:type="dxa" w:w="2304"/>
            <w:vAlign w:val="center"/>
            <w:shd w:fill="EDF2F7" w:val="clear"/>
          </w:tcPr>
          <w:p>
            <w:r/>
            <w:r>
              <w:rPr>
                <w:rFonts w:ascii="Times New Roman" w:hAnsi="Times New Roman"/>
                <w:sz w:val="18"/>
              </w:rPr>
              <w:t>Mild dysregulation</w:t>
            </w:r>
          </w:p>
        </w:tc>
      </w:tr>
      <w:tr>
        <w:tc>
          <w:tcPr>
            <w:tcW w:type="dxa" w:w="2016"/>
            <w:vAlign w:val="center"/>
          </w:tcPr>
          <w:p>
            <w:r/>
            <w:r>
              <w:rPr>
                <w:rFonts w:ascii="Times New Roman" w:hAnsi="Times New Roman"/>
                <w:sz w:val="18"/>
              </w:rPr>
              <w:t>Altered</w:t>
            </w:r>
          </w:p>
        </w:tc>
        <w:tc>
          <w:tcPr>
            <w:tcW w:type="dxa" w:w="1008"/>
            <w:vAlign w:val="center"/>
          </w:tcPr>
          <w:p>
            <w:r/>
            <w:r>
              <w:rPr>
                <w:rFonts w:ascii="Times New Roman" w:hAnsi="Times New Roman"/>
                <w:sz w:val="18"/>
              </w:rPr>
              <w:t>Upper</w:t>
            </w:r>
          </w:p>
        </w:tc>
        <w:tc>
          <w:tcPr>
            <w:tcW w:type="dxa" w:w="1728"/>
            <w:vAlign w:val="center"/>
          </w:tcPr>
          <w:p>
            <w:r/>
            <w:r>
              <w:rPr>
                <w:rFonts w:ascii="Times New Roman" w:hAnsi="Times New Roman"/>
                <w:sz w:val="18"/>
              </w:rPr>
              <w:t>≥95th</w:t>
            </w:r>
          </w:p>
        </w:tc>
        <w:tc>
          <w:tcPr>
            <w:tcW w:type="dxa" w:w="2304"/>
            <w:vAlign w:val="center"/>
          </w:tcPr>
          <w:p>
            <w:r/>
            <w:r>
              <w:rPr>
                <w:rFonts w:ascii="Times New Roman" w:hAnsi="Times New Roman"/>
                <w:sz w:val="18"/>
              </w:rPr>
              <w:t>Marked upper deviation</w:t>
            </w:r>
          </w:p>
        </w:tc>
        <w:tc>
          <w:tcPr>
            <w:tcW w:type="dxa" w:w="2304"/>
            <w:vAlign w:val="center"/>
          </w:tcPr>
          <w:p>
            <w:r/>
            <w:r>
              <w:rPr>
                <w:rFonts w:ascii="Times New Roman" w:hAnsi="Times New Roman"/>
                <w:sz w:val="18"/>
              </w:rPr>
              <w:t>Marked dysregulation</w:t>
            </w:r>
          </w:p>
        </w:tc>
      </w:tr>
    </w:tbl>
    <w:p>
      <w:pPr>
        <w:pStyle w:val="Heading2"/>
      </w:pPr>
      <w:r>
        <w:t>5.2 Secondary PTP Thresholds (Post-Intervention)</w:t>
      </w:r>
    </w:p>
    <w:p>
      <w:pPr>
        <w:spacing w:after="120"/>
      </w:pPr>
      <w:r>
        <w:rPr>
          <w:rFonts w:ascii="Times New Roman" w:hAnsi="Times New Roman"/>
          <w:b w:val="0"/>
          <w:i w:val="0"/>
        </w:rPr>
        <w:t>Secondary PTPs use the same percentile boundaries as primary PTPs, with the addition of two post-intervention–specific classes: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016"/>
            <w:shd w:fill="1B3A5C" w:val="clear"/>
            <w:vAlign w:val="center"/>
          </w:tcPr>
          <w:p>
            <w:pPr>
              <w:jc w:val="center"/>
            </w:pPr>
            <w:r/>
            <w:r>
              <w:rPr>
                <w:rFonts w:ascii="Times New Roman" w:hAnsi="Times New Roman"/>
                <w:b/>
                <w:color w:val="FFFFFF"/>
                <w:sz w:val="18"/>
              </w:rPr>
              <w:t>PTP Class</w:t>
            </w:r>
          </w:p>
        </w:tc>
        <w:tc>
          <w:tcPr>
            <w:tcW w:type="dxa" w:w="2304"/>
            <w:shd w:fill="1B3A5C" w:val="clear"/>
            <w:vAlign w:val="center"/>
          </w:tcPr>
          <w:p>
            <w:pPr>
              <w:jc w:val="center"/>
            </w:pPr>
            <w:r/>
            <w:r>
              <w:rPr>
                <w:rFonts w:ascii="Times New Roman" w:hAnsi="Times New Roman"/>
                <w:b/>
                <w:color w:val="FFFFFF"/>
                <w:sz w:val="18"/>
              </w:rPr>
              <w:t>Post-Intervention Criteria</w:t>
            </w:r>
          </w:p>
        </w:tc>
        <w:tc>
          <w:tcPr>
            <w:tcW w:type="dxa" w:w="2304"/>
            <w:shd w:fill="1B3A5C" w:val="clear"/>
            <w:vAlign w:val="center"/>
          </w:tcPr>
          <w:p>
            <w:pPr>
              <w:jc w:val="center"/>
            </w:pPr>
            <w:r/>
            <w:r>
              <w:rPr>
                <w:rFonts w:ascii="Times New Roman" w:hAnsi="Times New Roman"/>
                <w:b/>
                <w:color w:val="FFFFFF"/>
                <w:sz w:val="18"/>
              </w:rPr>
              <w:t>Pre-Intervention Requirement</w:t>
            </w:r>
          </w:p>
        </w:tc>
        <w:tc>
          <w:tcPr>
            <w:tcW w:type="dxa" w:w="2736"/>
            <w:shd w:fill="1B3A5C" w:val="clear"/>
            <w:vAlign w:val="center"/>
          </w:tcPr>
          <w:p>
            <w:pPr>
              <w:jc w:val="center"/>
            </w:pPr>
            <w:r/>
            <w:r>
              <w:rPr>
                <w:rFonts w:ascii="Times New Roman" w:hAnsi="Times New Roman"/>
                <w:b/>
                <w:color w:val="FFFFFF"/>
                <w:sz w:val="18"/>
              </w:rPr>
              <w:t>Key Condition</w:t>
            </w:r>
          </w:p>
        </w:tc>
      </w:tr>
      <w:tr>
        <w:tc>
          <w:tcPr>
            <w:tcW w:type="dxa" w:w="2016"/>
            <w:vAlign w:val="center"/>
            <w:shd w:fill="EDF2F7" w:val="clear"/>
          </w:tcPr>
          <w:p>
            <w:r/>
            <w:r>
              <w:rPr>
                <w:rFonts w:ascii="Times New Roman" w:hAnsi="Times New Roman"/>
                <w:sz w:val="18"/>
              </w:rPr>
              <w:t>Preserved</w:t>
            </w:r>
          </w:p>
        </w:tc>
        <w:tc>
          <w:tcPr>
            <w:tcW w:type="dxa" w:w="2304"/>
            <w:vAlign w:val="center"/>
            <w:shd w:fill="EDF2F7" w:val="clear"/>
          </w:tcPr>
          <w:p>
            <w:r/>
            <w:r>
              <w:rPr>
                <w:rFonts w:ascii="Times New Roman" w:hAnsi="Times New Roman"/>
                <w:sz w:val="18"/>
              </w:rPr>
              <w:t>Basal/PC1: 25th–75th</w:t>
            </w:r>
          </w:p>
        </w:tc>
        <w:tc>
          <w:tcPr>
            <w:tcW w:type="dxa" w:w="2304"/>
            <w:vAlign w:val="center"/>
            <w:shd w:fill="EDF2F7" w:val="clear"/>
          </w:tcPr>
          <w:p>
            <w:r/>
            <w:r>
              <w:rPr>
                <w:rFonts w:ascii="Times New Roman" w:hAnsi="Times New Roman"/>
                <w:sz w:val="18"/>
              </w:rPr>
              <w:t>Was already Preserved</w:t>
            </w:r>
          </w:p>
        </w:tc>
        <w:tc>
          <w:tcPr>
            <w:tcW w:type="dxa" w:w="2736"/>
            <w:vAlign w:val="center"/>
            <w:shd w:fill="EDF2F7" w:val="clear"/>
          </w:tcPr>
          <w:p>
            <w:r/>
            <w:r>
              <w:rPr>
                <w:rFonts w:ascii="Times New Roman" w:hAnsi="Times New Roman"/>
                <w:sz w:val="18"/>
              </w:rPr>
              <w:t>Maintained</w:t>
            </w:r>
          </w:p>
        </w:tc>
      </w:tr>
      <w:tr>
        <w:tc>
          <w:tcPr>
            <w:tcW w:type="dxa" w:w="2016"/>
            <w:vAlign w:val="center"/>
          </w:tcPr>
          <w:p>
            <w:r/>
            <w:r>
              <w:rPr>
                <w:rFonts w:ascii="Times New Roman" w:hAnsi="Times New Roman"/>
                <w:sz w:val="18"/>
              </w:rPr>
              <w:t>Recovered</w:t>
            </w:r>
          </w:p>
        </w:tc>
        <w:tc>
          <w:tcPr>
            <w:tcW w:type="dxa" w:w="2304"/>
            <w:vAlign w:val="center"/>
          </w:tcPr>
          <w:p>
            <w:r/>
            <w:r>
              <w:rPr>
                <w:rFonts w:ascii="Times New Roman" w:hAnsi="Times New Roman"/>
                <w:sz w:val="18"/>
              </w:rPr>
              <w:t>Basal/PC1: 25th–75th</w:t>
            </w:r>
          </w:p>
        </w:tc>
        <w:tc>
          <w:tcPr>
            <w:tcW w:type="dxa" w:w="2304"/>
            <w:vAlign w:val="center"/>
          </w:tcPr>
          <w:p>
            <w:r/>
            <w:r>
              <w:rPr>
                <w:rFonts w:ascii="Times New Roman" w:hAnsi="Times New Roman"/>
                <w:sz w:val="18"/>
              </w:rPr>
              <w:t>Was abnormal</w:t>
            </w:r>
          </w:p>
        </w:tc>
        <w:tc>
          <w:tcPr>
            <w:tcW w:type="dxa" w:w="2736"/>
            <w:vAlign w:val="center"/>
          </w:tcPr>
          <w:p>
            <w:r/>
            <w:r>
              <w:rPr>
                <w:rFonts w:ascii="Times New Roman" w:hAnsi="Times New Roman"/>
                <w:sz w:val="18"/>
              </w:rPr>
              <w:t>Improved to reference</w:t>
            </w:r>
          </w:p>
        </w:tc>
      </w:tr>
      <w:tr>
        <w:tc>
          <w:tcPr>
            <w:tcW w:type="dxa" w:w="2016"/>
            <w:vAlign w:val="center"/>
            <w:shd w:fill="EDF2F7" w:val="clear"/>
          </w:tcPr>
          <w:p>
            <w:r/>
            <w:r>
              <w:rPr>
                <w:rFonts w:ascii="Times New Roman" w:hAnsi="Times New Roman"/>
                <w:sz w:val="18"/>
              </w:rPr>
              <w:t>Borderline Impaired</w:t>
            </w:r>
          </w:p>
        </w:tc>
        <w:tc>
          <w:tcPr>
            <w:tcW w:type="dxa" w:w="2304"/>
            <w:vAlign w:val="center"/>
            <w:shd w:fill="EDF2F7" w:val="clear"/>
          </w:tcPr>
          <w:p>
            <w:r/>
            <w:r>
              <w:rPr>
                <w:rFonts w:ascii="Times New Roman" w:hAnsi="Times New Roman"/>
                <w:sz w:val="18"/>
              </w:rPr>
              <w:t>Basal/PC1: 10th–25th</w:t>
            </w:r>
          </w:p>
        </w:tc>
        <w:tc>
          <w:tcPr>
            <w:tcW w:type="dxa" w:w="2304"/>
            <w:vAlign w:val="center"/>
            <w:shd w:fill="EDF2F7" w:val="clear"/>
          </w:tcPr>
          <w:p>
            <w:r/>
            <w:r>
              <w:rPr>
                <w:rFonts w:ascii="Times New Roman" w:hAnsi="Times New Roman"/>
                <w:sz w:val="18"/>
              </w:rPr>
              <w:t>Any</w:t>
            </w:r>
          </w:p>
        </w:tc>
        <w:tc>
          <w:tcPr>
            <w:tcW w:type="dxa" w:w="2736"/>
            <w:vAlign w:val="center"/>
            <w:shd w:fill="EDF2F7" w:val="clear"/>
          </w:tcPr>
          <w:p>
            <w:r/>
            <w:r>
              <w:rPr>
                <w:rFonts w:ascii="Times New Roman" w:hAnsi="Times New Roman"/>
                <w:sz w:val="18"/>
              </w:rPr>
              <w:t>Residual mild impairment</w:t>
            </w:r>
          </w:p>
        </w:tc>
      </w:tr>
      <w:tr>
        <w:tc>
          <w:tcPr>
            <w:tcW w:type="dxa" w:w="2016"/>
            <w:vAlign w:val="center"/>
          </w:tcPr>
          <w:p>
            <w:r/>
            <w:r>
              <w:rPr>
                <w:rFonts w:ascii="Times New Roman" w:hAnsi="Times New Roman"/>
                <w:sz w:val="18"/>
              </w:rPr>
              <w:t>Impaired</w:t>
            </w:r>
          </w:p>
        </w:tc>
        <w:tc>
          <w:tcPr>
            <w:tcW w:type="dxa" w:w="2304"/>
            <w:vAlign w:val="center"/>
          </w:tcPr>
          <w:p>
            <w:r/>
            <w:r>
              <w:rPr>
                <w:rFonts w:ascii="Times New Roman" w:hAnsi="Times New Roman"/>
                <w:sz w:val="18"/>
              </w:rPr>
              <w:t>Basal/PC1: 5th–10th</w:t>
            </w:r>
          </w:p>
        </w:tc>
        <w:tc>
          <w:tcPr>
            <w:tcW w:type="dxa" w:w="2304"/>
            <w:vAlign w:val="center"/>
          </w:tcPr>
          <w:p>
            <w:r/>
            <w:r>
              <w:rPr>
                <w:rFonts w:ascii="Times New Roman" w:hAnsi="Times New Roman"/>
                <w:sz w:val="18"/>
              </w:rPr>
              <w:t>Any</w:t>
            </w:r>
          </w:p>
        </w:tc>
        <w:tc>
          <w:tcPr>
            <w:tcW w:type="dxa" w:w="2736"/>
            <w:vAlign w:val="center"/>
          </w:tcPr>
          <w:p>
            <w:r/>
            <w:r>
              <w:rPr>
                <w:rFonts w:ascii="Times New Roman" w:hAnsi="Times New Roman"/>
                <w:sz w:val="18"/>
              </w:rPr>
              <w:t>Persistent moderate impairment</w:t>
            </w:r>
          </w:p>
        </w:tc>
      </w:tr>
      <w:tr>
        <w:tc>
          <w:tcPr>
            <w:tcW w:type="dxa" w:w="2016"/>
            <w:vAlign w:val="center"/>
            <w:shd w:fill="EDF2F7" w:val="clear"/>
          </w:tcPr>
          <w:p>
            <w:r/>
            <w:r>
              <w:rPr>
                <w:rFonts w:ascii="Times New Roman" w:hAnsi="Times New Roman"/>
                <w:sz w:val="18"/>
              </w:rPr>
              <w:t>Blunted</w:t>
            </w:r>
          </w:p>
        </w:tc>
        <w:tc>
          <w:tcPr>
            <w:tcW w:type="dxa" w:w="2304"/>
            <w:vAlign w:val="center"/>
            <w:shd w:fill="EDF2F7" w:val="clear"/>
          </w:tcPr>
          <w:p>
            <w:r/>
            <w:r>
              <w:rPr>
                <w:rFonts w:ascii="Times New Roman" w:hAnsi="Times New Roman"/>
                <w:sz w:val="18"/>
              </w:rPr>
              <w:t>Basal/PC1: &lt;5th</w:t>
            </w:r>
          </w:p>
        </w:tc>
        <w:tc>
          <w:tcPr>
            <w:tcW w:type="dxa" w:w="2304"/>
            <w:vAlign w:val="center"/>
            <w:shd w:fill="EDF2F7" w:val="clear"/>
          </w:tcPr>
          <w:p>
            <w:r/>
            <w:r>
              <w:rPr>
                <w:rFonts w:ascii="Times New Roman" w:hAnsi="Times New Roman"/>
                <w:sz w:val="18"/>
              </w:rPr>
              <w:t>Any</w:t>
            </w:r>
          </w:p>
        </w:tc>
        <w:tc>
          <w:tcPr>
            <w:tcW w:type="dxa" w:w="2736"/>
            <w:vAlign w:val="center"/>
            <w:shd w:fill="EDF2F7" w:val="clear"/>
          </w:tcPr>
          <w:p>
            <w:r/>
            <w:r>
              <w:rPr>
                <w:rFonts w:ascii="Times New Roman" w:hAnsi="Times New Roman"/>
                <w:sz w:val="18"/>
              </w:rPr>
              <w:t>Persistent severe attenuation</w:t>
            </w:r>
          </w:p>
        </w:tc>
      </w:tr>
      <w:tr>
        <w:tc>
          <w:tcPr>
            <w:tcW w:type="dxa" w:w="2016"/>
            <w:vAlign w:val="center"/>
          </w:tcPr>
          <w:p>
            <w:r/>
            <w:r>
              <w:rPr>
                <w:rFonts w:ascii="Times New Roman" w:hAnsi="Times New Roman"/>
                <w:sz w:val="18"/>
              </w:rPr>
              <w:t>Borderline Altered</w:t>
            </w:r>
          </w:p>
        </w:tc>
        <w:tc>
          <w:tcPr>
            <w:tcW w:type="dxa" w:w="2304"/>
            <w:vAlign w:val="center"/>
          </w:tcPr>
          <w:p>
            <w:r/>
            <w:r>
              <w:rPr>
                <w:rFonts w:ascii="Times New Roman" w:hAnsi="Times New Roman"/>
                <w:sz w:val="18"/>
              </w:rPr>
              <w:t>Basal/PC1: 75th–95th</w:t>
            </w:r>
          </w:p>
        </w:tc>
        <w:tc>
          <w:tcPr>
            <w:tcW w:type="dxa" w:w="2304"/>
            <w:vAlign w:val="center"/>
          </w:tcPr>
          <w:p>
            <w:r/>
            <w:r>
              <w:rPr>
                <w:rFonts w:ascii="Times New Roman" w:hAnsi="Times New Roman"/>
                <w:sz w:val="18"/>
              </w:rPr>
              <w:t>Any</w:t>
            </w:r>
          </w:p>
        </w:tc>
        <w:tc>
          <w:tcPr>
            <w:tcW w:type="dxa" w:w="2736"/>
            <w:vAlign w:val="center"/>
          </w:tcPr>
          <w:p>
            <w:r/>
            <w:r>
              <w:rPr>
                <w:rFonts w:ascii="Times New Roman" w:hAnsi="Times New Roman"/>
                <w:sz w:val="18"/>
              </w:rPr>
              <w:t>Residual mild dysregulation</w:t>
            </w:r>
          </w:p>
        </w:tc>
      </w:tr>
      <w:tr>
        <w:tc>
          <w:tcPr>
            <w:tcW w:type="dxa" w:w="2016"/>
            <w:vAlign w:val="center"/>
            <w:shd w:fill="EDF2F7" w:val="clear"/>
          </w:tcPr>
          <w:p>
            <w:r/>
            <w:r>
              <w:rPr>
                <w:rFonts w:ascii="Times New Roman" w:hAnsi="Times New Roman"/>
                <w:sz w:val="18"/>
              </w:rPr>
              <w:t>Altered</w:t>
            </w:r>
          </w:p>
        </w:tc>
        <w:tc>
          <w:tcPr>
            <w:tcW w:type="dxa" w:w="2304"/>
            <w:vAlign w:val="center"/>
            <w:shd w:fill="EDF2F7" w:val="clear"/>
          </w:tcPr>
          <w:p>
            <w:r/>
            <w:r>
              <w:rPr>
                <w:rFonts w:ascii="Times New Roman" w:hAnsi="Times New Roman"/>
                <w:sz w:val="18"/>
              </w:rPr>
              <w:t>Basal/PC1: ≥95th</w:t>
            </w:r>
          </w:p>
        </w:tc>
        <w:tc>
          <w:tcPr>
            <w:tcW w:type="dxa" w:w="2304"/>
            <w:vAlign w:val="center"/>
            <w:shd w:fill="EDF2F7" w:val="clear"/>
          </w:tcPr>
          <w:p>
            <w:r/>
            <w:r>
              <w:rPr>
                <w:rFonts w:ascii="Times New Roman" w:hAnsi="Times New Roman"/>
                <w:sz w:val="18"/>
              </w:rPr>
              <w:t>Any</w:t>
            </w:r>
          </w:p>
        </w:tc>
        <w:tc>
          <w:tcPr>
            <w:tcW w:type="dxa" w:w="2736"/>
            <w:vAlign w:val="center"/>
            <w:shd w:fill="EDF2F7" w:val="clear"/>
          </w:tcPr>
          <w:p>
            <w:r/>
            <w:r>
              <w:rPr>
                <w:rFonts w:ascii="Times New Roman" w:hAnsi="Times New Roman"/>
                <w:sz w:val="18"/>
              </w:rPr>
              <w:t>Persistent marked dysregulation</w:t>
            </w:r>
          </w:p>
        </w:tc>
      </w:tr>
      <w:tr>
        <w:tc>
          <w:tcPr>
            <w:tcW w:type="dxa" w:w="2016"/>
            <w:vAlign w:val="center"/>
          </w:tcPr>
          <w:p>
            <w:r/>
            <w:r>
              <w:rPr>
                <w:rFonts w:ascii="Times New Roman" w:hAnsi="Times New Roman"/>
                <w:sz w:val="18"/>
              </w:rPr>
              <w:t>Borderline Enhanced</w:t>
            </w:r>
          </w:p>
        </w:tc>
        <w:tc>
          <w:tcPr>
            <w:tcW w:type="dxa" w:w="2304"/>
            <w:vAlign w:val="center"/>
          </w:tcPr>
          <w:p>
            <w:r/>
            <w:r>
              <w:rPr>
                <w:rFonts w:ascii="Times New Roman" w:hAnsi="Times New Roman"/>
                <w:sz w:val="18"/>
              </w:rPr>
              <w:t>PC1: 75th–95th</w:t>
            </w:r>
          </w:p>
        </w:tc>
        <w:tc>
          <w:tcPr>
            <w:tcW w:type="dxa" w:w="2304"/>
            <w:vAlign w:val="center"/>
          </w:tcPr>
          <w:p>
            <w:r/>
            <w:r>
              <w:rPr>
                <w:rFonts w:ascii="Times New Roman" w:hAnsi="Times New Roman"/>
                <w:sz w:val="18"/>
              </w:rPr>
              <w:t>Any</w:t>
            </w:r>
          </w:p>
        </w:tc>
        <w:tc>
          <w:tcPr>
            <w:tcW w:type="dxa" w:w="2736"/>
            <w:vAlign w:val="center"/>
          </w:tcPr>
          <w:p>
            <w:r/>
            <w:r>
              <w:rPr>
                <w:rFonts w:ascii="Times New Roman" w:hAnsi="Times New Roman"/>
                <w:sz w:val="18"/>
              </w:rPr>
              <w:t>Coherent + glucose preserved/recovered</w:t>
            </w:r>
          </w:p>
        </w:tc>
      </w:tr>
      <w:tr>
        <w:tc>
          <w:tcPr>
            <w:tcW w:type="dxa" w:w="2016"/>
            <w:vAlign w:val="center"/>
            <w:shd w:fill="EDF2F7" w:val="clear"/>
          </w:tcPr>
          <w:p>
            <w:r/>
            <w:r>
              <w:rPr>
                <w:rFonts w:ascii="Times New Roman" w:hAnsi="Times New Roman"/>
                <w:sz w:val="18"/>
              </w:rPr>
              <w:t>Enhanced</w:t>
            </w:r>
          </w:p>
        </w:tc>
        <w:tc>
          <w:tcPr>
            <w:tcW w:type="dxa" w:w="2304"/>
            <w:vAlign w:val="center"/>
            <w:shd w:fill="EDF2F7" w:val="clear"/>
          </w:tcPr>
          <w:p>
            <w:r/>
            <w:r>
              <w:rPr>
                <w:rFonts w:ascii="Times New Roman" w:hAnsi="Times New Roman"/>
                <w:sz w:val="18"/>
              </w:rPr>
              <w:t>PC1: ≥95th</w:t>
            </w:r>
          </w:p>
        </w:tc>
        <w:tc>
          <w:tcPr>
            <w:tcW w:type="dxa" w:w="2304"/>
            <w:vAlign w:val="center"/>
            <w:shd w:fill="EDF2F7" w:val="clear"/>
          </w:tcPr>
          <w:p>
            <w:r/>
            <w:r>
              <w:rPr>
                <w:rFonts w:ascii="Times New Roman" w:hAnsi="Times New Roman"/>
                <w:sz w:val="18"/>
              </w:rPr>
              <w:t>Any</w:t>
            </w:r>
          </w:p>
        </w:tc>
        <w:tc>
          <w:tcPr>
            <w:tcW w:type="dxa" w:w="2736"/>
            <w:vAlign w:val="center"/>
            <w:shd w:fill="EDF2F7" w:val="clear"/>
          </w:tcPr>
          <w:p>
            <w:r/>
            <w:r>
              <w:rPr>
                <w:rFonts w:ascii="Times New Roman" w:hAnsi="Times New Roman"/>
                <w:sz w:val="18"/>
              </w:rPr>
              <w:t>Coherent + glucose preserved/recovered</w:t>
            </w:r>
          </w:p>
        </w:tc>
      </w:tr>
    </w:tbl>
    <w:p>
      <w:r>
        <w:br w:type="page"/>
      </w:r>
    </w:p>
    <w:p>
      <w:pPr>
        <w:pStyle w:val="Heading1"/>
      </w:pPr>
      <w:r>
        <w:t>6. Construction of Integrated Enteropancreatic Patterns</w:t>
      </w:r>
    </w:p>
    <w:p>
      <w:r>
        <w:rPr>
          <w:rFonts w:ascii="Times New Roman" w:hAnsi="Times New Roman"/>
          <w:b w:val="0"/>
          <w:i w:val="0"/>
        </w:rPr>
        <w:t>Integrated Enteropancreatic Pattern (IEP) typing was performed at the cohort-time-arm level after deterministic assignment of analyte-level PTPs. Integrated typing was treated as a rule-based ecological classification rather than an unsupervised phenotype-discovery procedure.</w:t>
      </w:r>
    </w:p>
    <w:p>
      <w:pPr>
        <w:pStyle w:val="Heading2"/>
      </w:pPr>
      <w:r>
        <w:t>6.1 Classifiability Rule</w:t>
      </w:r>
    </w:p>
    <w:p>
      <w:r>
        <w:rPr>
          <w:rFonts w:ascii="Times New Roman" w:hAnsi="Times New Roman"/>
          <w:b w:val="0"/>
          <w:i w:val="0"/>
        </w:rPr>
        <w:t>An integrated pattern was assigned only when:</w:t>
      </w:r>
    </w:p>
    <w:p>
      <w:r>
        <w:rPr>
          <w:rFonts w:ascii="Times New Roman" w:hAnsi="Times New Roman"/>
          <w:b/>
          <w:i w:val="0"/>
        </w:rPr>
        <w:t xml:space="preserve">(a) </w:t>
      </w:r>
      <w:r>
        <w:rPr>
          <w:rFonts w:ascii="Times New Roman" w:hAnsi="Times New Roman"/>
          <w:b w:val="0"/>
          <w:i w:val="0"/>
        </w:rPr>
        <w:t xml:space="preserve">glucose PTP was classifiable; </w:t>
      </w:r>
      <w:r>
        <w:rPr>
          <w:rFonts w:ascii="Times New Roman" w:hAnsi="Times New Roman"/>
          <w:b/>
          <w:i w:val="0"/>
        </w:rPr>
        <w:t xml:space="preserve">(b) </w:t>
      </w:r>
      <w:r>
        <w:rPr>
          <w:rFonts w:ascii="Times New Roman" w:hAnsi="Times New Roman"/>
          <w:b w:val="0"/>
          <w:i w:val="0"/>
        </w:rPr>
        <w:t xml:space="preserve">at least two non-glucose analyte-level PTPs were classifiable; and </w:t>
      </w:r>
      <w:r>
        <w:rPr>
          <w:rFonts w:ascii="Times New Roman" w:hAnsi="Times New Roman"/>
          <w:b/>
          <w:i w:val="0"/>
        </w:rPr>
        <w:t xml:space="preserve">(c) </w:t>
      </w:r>
      <w:r>
        <w:rPr>
          <w:rFonts w:ascii="Times New Roman" w:hAnsi="Times New Roman"/>
          <w:b w:val="0"/>
          <w:i w:val="0"/>
        </w:rPr>
        <w:t>the classifiable non-glucose set included at least one pancreatic effector signal (insulin) and at least one gut-hormone signal (ghrelin, GIP, GLP-1).</w:t>
      </w:r>
    </w:p>
    <w:p>
      <w:r>
        <w:rPr>
          <w:rFonts w:ascii="Times New Roman" w:hAnsi="Times New Roman"/>
          <w:b w:val="0"/>
          <w:i w:val="0"/>
        </w:rPr>
        <w:t>Cohort-time arms not meeting these criteria were classified as "not integrable" and were excluded from Type I–V assignment. Missing analytes were not imputed.</w:t>
      </w:r>
    </w:p>
    <w:p>
      <w:pPr>
        <w:pStyle w:val="Heading2"/>
      </w:pPr>
      <w:r>
        <w:t>6.2 Non-Glucose PTP State Groups</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1B3A5C" w:val="clear"/>
            <w:vAlign w:val="center"/>
          </w:tcPr>
          <w:p>
            <w:pPr>
              <w:jc w:val="center"/>
            </w:pPr>
            <w:r/>
            <w:r>
              <w:rPr>
                <w:rFonts w:ascii="Times New Roman" w:hAnsi="Times New Roman"/>
                <w:b/>
                <w:color w:val="FFFFFF"/>
                <w:sz w:val="18"/>
              </w:rPr>
              <w:t>Group</w:t>
            </w:r>
          </w:p>
        </w:tc>
        <w:tc>
          <w:tcPr>
            <w:tcW w:type="dxa" w:w="3600"/>
            <w:shd w:fill="1B3A5C" w:val="clear"/>
            <w:vAlign w:val="center"/>
          </w:tcPr>
          <w:p>
            <w:pPr>
              <w:jc w:val="center"/>
            </w:pPr>
            <w:r/>
            <w:r>
              <w:rPr>
                <w:rFonts w:ascii="Times New Roman" w:hAnsi="Times New Roman"/>
                <w:b/>
                <w:color w:val="FFFFFF"/>
                <w:sz w:val="18"/>
              </w:rPr>
              <w:t>PTP States Included</w:t>
            </w:r>
          </w:p>
        </w:tc>
        <w:tc>
          <w:tcPr>
            <w:tcW w:type="dxa" w:w="4608"/>
            <w:shd w:fill="1B3A5C" w:val="clear"/>
            <w:vAlign w:val="center"/>
          </w:tcPr>
          <w:p>
            <w:pPr>
              <w:jc w:val="center"/>
            </w:pPr>
            <w:r/>
            <w:r>
              <w:rPr>
                <w:rFonts w:ascii="Times New Roman" w:hAnsi="Times New Roman"/>
                <w:b/>
                <w:color w:val="FFFFFF"/>
                <w:sz w:val="18"/>
              </w:rPr>
              <w:t>Direction</w:t>
            </w:r>
          </w:p>
        </w:tc>
      </w:tr>
      <w:tr>
        <w:tc>
          <w:tcPr>
            <w:tcW w:type="dxa" w:w="1152"/>
            <w:vAlign w:val="center"/>
            <w:shd w:fill="EDF2F7" w:val="clear"/>
          </w:tcPr>
          <w:p>
            <w:r/>
            <w:r>
              <w:rPr>
                <w:rFonts w:ascii="Times New Roman" w:hAnsi="Times New Roman"/>
                <w:sz w:val="18"/>
              </w:rPr>
              <w:t>R</w:t>
            </w:r>
          </w:p>
        </w:tc>
        <w:tc>
          <w:tcPr>
            <w:tcW w:type="dxa" w:w="3600"/>
            <w:vAlign w:val="center"/>
            <w:shd w:fill="EDF2F7" w:val="clear"/>
          </w:tcPr>
          <w:p>
            <w:r/>
            <w:r>
              <w:rPr>
                <w:rFonts w:ascii="Times New Roman" w:hAnsi="Times New Roman"/>
                <w:sz w:val="18"/>
              </w:rPr>
              <w:t>Preserved, Recovered</w:t>
            </w:r>
          </w:p>
        </w:tc>
        <w:tc>
          <w:tcPr>
            <w:tcW w:type="dxa" w:w="4608"/>
            <w:vAlign w:val="center"/>
            <w:shd w:fill="EDF2F7" w:val="clear"/>
          </w:tcPr>
          <w:p>
            <w:r/>
            <w:r>
              <w:rPr>
                <w:rFonts w:ascii="Times New Roman" w:hAnsi="Times New Roman"/>
                <w:sz w:val="18"/>
              </w:rPr>
              <w:t>Reference-concordant</w:t>
            </w:r>
          </w:p>
        </w:tc>
      </w:tr>
      <w:tr>
        <w:tc>
          <w:tcPr>
            <w:tcW w:type="dxa" w:w="1152"/>
            <w:vAlign w:val="center"/>
          </w:tcPr>
          <w:p>
            <w:r/>
            <w:r>
              <w:rPr>
                <w:rFonts w:ascii="Times New Roman" w:hAnsi="Times New Roman"/>
                <w:sz w:val="18"/>
              </w:rPr>
              <w:t>L1</w:t>
            </w:r>
          </w:p>
        </w:tc>
        <w:tc>
          <w:tcPr>
            <w:tcW w:type="dxa" w:w="3600"/>
            <w:vAlign w:val="center"/>
          </w:tcPr>
          <w:p>
            <w:r/>
            <w:r>
              <w:rPr>
                <w:rFonts w:ascii="Times New Roman" w:hAnsi="Times New Roman"/>
                <w:sz w:val="18"/>
              </w:rPr>
              <w:t>Borderline Impaired</w:t>
            </w:r>
          </w:p>
        </w:tc>
        <w:tc>
          <w:tcPr>
            <w:tcW w:type="dxa" w:w="4608"/>
            <w:vAlign w:val="center"/>
          </w:tcPr>
          <w:p>
            <w:r/>
            <w:r>
              <w:rPr>
                <w:rFonts w:ascii="Times New Roman" w:hAnsi="Times New Roman"/>
                <w:sz w:val="18"/>
              </w:rPr>
              <w:t>Mild lower tail</w:t>
            </w:r>
          </w:p>
        </w:tc>
      </w:tr>
      <w:tr>
        <w:tc>
          <w:tcPr>
            <w:tcW w:type="dxa" w:w="1152"/>
            <w:vAlign w:val="center"/>
            <w:shd w:fill="EDF2F7" w:val="clear"/>
          </w:tcPr>
          <w:p>
            <w:r/>
            <w:r>
              <w:rPr>
                <w:rFonts w:ascii="Times New Roman" w:hAnsi="Times New Roman"/>
                <w:sz w:val="18"/>
              </w:rPr>
              <w:t>L2</w:t>
            </w:r>
          </w:p>
        </w:tc>
        <w:tc>
          <w:tcPr>
            <w:tcW w:type="dxa" w:w="3600"/>
            <w:vAlign w:val="center"/>
            <w:shd w:fill="EDF2F7" w:val="clear"/>
          </w:tcPr>
          <w:p>
            <w:r/>
            <w:r>
              <w:rPr>
                <w:rFonts w:ascii="Times New Roman" w:hAnsi="Times New Roman"/>
                <w:sz w:val="18"/>
              </w:rPr>
              <w:t>Impaired, Blunted</w:t>
            </w:r>
          </w:p>
        </w:tc>
        <w:tc>
          <w:tcPr>
            <w:tcW w:type="dxa" w:w="4608"/>
            <w:vAlign w:val="center"/>
            <w:shd w:fill="EDF2F7" w:val="clear"/>
          </w:tcPr>
          <w:p>
            <w:r/>
            <w:r>
              <w:rPr>
                <w:rFonts w:ascii="Times New Roman" w:hAnsi="Times New Roman"/>
                <w:sz w:val="18"/>
              </w:rPr>
              <w:t>Moderate–severe lower tail</w:t>
            </w:r>
          </w:p>
        </w:tc>
      </w:tr>
      <w:tr>
        <w:tc>
          <w:tcPr>
            <w:tcW w:type="dxa" w:w="1152"/>
            <w:vAlign w:val="center"/>
          </w:tcPr>
          <w:p>
            <w:r/>
            <w:r>
              <w:rPr>
                <w:rFonts w:ascii="Times New Roman" w:hAnsi="Times New Roman"/>
                <w:sz w:val="18"/>
              </w:rPr>
              <w:t>U1</w:t>
            </w:r>
          </w:p>
        </w:tc>
        <w:tc>
          <w:tcPr>
            <w:tcW w:type="dxa" w:w="3600"/>
            <w:vAlign w:val="center"/>
          </w:tcPr>
          <w:p>
            <w:r/>
            <w:r>
              <w:rPr>
                <w:rFonts w:ascii="Times New Roman" w:hAnsi="Times New Roman"/>
                <w:sz w:val="18"/>
              </w:rPr>
              <w:t>Borderline Enhanced</w:t>
            </w:r>
          </w:p>
        </w:tc>
        <w:tc>
          <w:tcPr>
            <w:tcW w:type="dxa" w:w="4608"/>
            <w:vAlign w:val="center"/>
          </w:tcPr>
          <w:p>
            <w:r/>
            <w:r>
              <w:rPr>
                <w:rFonts w:ascii="Times New Roman" w:hAnsi="Times New Roman"/>
                <w:sz w:val="18"/>
              </w:rPr>
              <w:t>Mild upper (coherent)</w:t>
            </w:r>
          </w:p>
        </w:tc>
      </w:tr>
      <w:tr>
        <w:tc>
          <w:tcPr>
            <w:tcW w:type="dxa" w:w="1152"/>
            <w:vAlign w:val="center"/>
            <w:shd w:fill="EDF2F7" w:val="clear"/>
          </w:tcPr>
          <w:p>
            <w:r/>
            <w:r>
              <w:rPr>
                <w:rFonts w:ascii="Times New Roman" w:hAnsi="Times New Roman"/>
                <w:sz w:val="18"/>
              </w:rPr>
              <w:t>U2</w:t>
            </w:r>
          </w:p>
        </w:tc>
        <w:tc>
          <w:tcPr>
            <w:tcW w:type="dxa" w:w="3600"/>
            <w:vAlign w:val="center"/>
            <w:shd w:fill="EDF2F7" w:val="clear"/>
          </w:tcPr>
          <w:p>
            <w:r/>
            <w:r>
              <w:rPr>
                <w:rFonts w:ascii="Times New Roman" w:hAnsi="Times New Roman"/>
                <w:sz w:val="18"/>
              </w:rPr>
              <w:t>Enhanced</w:t>
            </w:r>
          </w:p>
        </w:tc>
        <w:tc>
          <w:tcPr>
            <w:tcW w:type="dxa" w:w="4608"/>
            <w:vAlign w:val="center"/>
            <w:shd w:fill="EDF2F7" w:val="clear"/>
          </w:tcPr>
          <w:p>
            <w:r/>
            <w:r>
              <w:rPr>
                <w:rFonts w:ascii="Times New Roman" w:hAnsi="Times New Roman"/>
                <w:sz w:val="18"/>
              </w:rPr>
              <w:t>Marked upper (coherent)</w:t>
            </w:r>
          </w:p>
        </w:tc>
      </w:tr>
      <w:tr>
        <w:tc>
          <w:tcPr>
            <w:tcW w:type="dxa" w:w="1152"/>
            <w:vAlign w:val="center"/>
          </w:tcPr>
          <w:p>
            <w:r/>
            <w:r>
              <w:rPr>
                <w:rFonts w:ascii="Times New Roman" w:hAnsi="Times New Roman"/>
                <w:sz w:val="18"/>
              </w:rPr>
              <w:t>D1</w:t>
            </w:r>
          </w:p>
        </w:tc>
        <w:tc>
          <w:tcPr>
            <w:tcW w:type="dxa" w:w="3600"/>
            <w:vAlign w:val="center"/>
          </w:tcPr>
          <w:p>
            <w:r/>
            <w:r>
              <w:rPr>
                <w:rFonts w:ascii="Times New Roman" w:hAnsi="Times New Roman"/>
                <w:sz w:val="18"/>
              </w:rPr>
              <w:t>Borderline Altered</w:t>
            </w:r>
          </w:p>
        </w:tc>
        <w:tc>
          <w:tcPr>
            <w:tcW w:type="dxa" w:w="4608"/>
            <w:vAlign w:val="center"/>
          </w:tcPr>
          <w:p>
            <w:r/>
            <w:r>
              <w:rPr>
                <w:rFonts w:ascii="Times New Roman" w:hAnsi="Times New Roman"/>
                <w:sz w:val="18"/>
              </w:rPr>
              <w:t>Mild upper (dysregulated)</w:t>
            </w:r>
          </w:p>
        </w:tc>
      </w:tr>
      <w:tr>
        <w:tc>
          <w:tcPr>
            <w:tcW w:type="dxa" w:w="1152"/>
            <w:vAlign w:val="center"/>
            <w:shd w:fill="EDF2F7" w:val="clear"/>
          </w:tcPr>
          <w:p>
            <w:r/>
            <w:r>
              <w:rPr>
                <w:rFonts w:ascii="Times New Roman" w:hAnsi="Times New Roman"/>
                <w:sz w:val="18"/>
              </w:rPr>
              <w:t>D2</w:t>
            </w:r>
          </w:p>
        </w:tc>
        <w:tc>
          <w:tcPr>
            <w:tcW w:type="dxa" w:w="3600"/>
            <w:vAlign w:val="center"/>
            <w:shd w:fill="EDF2F7" w:val="clear"/>
          </w:tcPr>
          <w:p>
            <w:r/>
            <w:r>
              <w:rPr>
                <w:rFonts w:ascii="Times New Roman" w:hAnsi="Times New Roman"/>
                <w:sz w:val="18"/>
              </w:rPr>
              <w:t>Altered</w:t>
            </w:r>
          </w:p>
        </w:tc>
        <w:tc>
          <w:tcPr>
            <w:tcW w:type="dxa" w:w="4608"/>
            <w:vAlign w:val="center"/>
            <w:shd w:fill="EDF2F7" w:val="clear"/>
          </w:tcPr>
          <w:p>
            <w:r/>
            <w:r>
              <w:rPr>
                <w:rFonts w:ascii="Times New Roman" w:hAnsi="Times New Roman"/>
                <w:sz w:val="18"/>
              </w:rPr>
              <w:t>Marked upper (dysregulated)</w:t>
            </w:r>
          </w:p>
        </w:tc>
      </w:tr>
    </w:tbl>
    <w:p>
      <w:pPr>
        <w:pStyle w:val="Heading2"/>
      </w:pPr>
      <w:r>
        <w:t>6.3 Glucose Subtype Groups</w:t>
      </w:r>
    </w:p>
    <w:tbl>
      <w:tblPr>
        <w:tblStyle w:val="TableGrid"/>
        <w:tblW w:type="auto" w:w="0"/>
        <w:jc w:val="center"/>
        <w:tblLook w:firstColumn="1" w:firstRow="1" w:lastColumn="0" w:lastRow="0" w:noHBand="0" w:noVBand="1" w:val="04A0"/>
      </w:tblPr>
      <w:tblGrid>
        <w:gridCol w:w="3120"/>
        <w:gridCol w:w="3120"/>
        <w:gridCol w:w="3120"/>
      </w:tblGrid>
      <w:tr>
        <w:tc>
          <w:tcPr>
            <w:tcW w:type="dxa" w:w="1152"/>
            <w:shd w:fill="1B3A5C" w:val="clear"/>
            <w:vAlign w:val="center"/>
          </w:tcPr>
          <w:p>
            <w:pPr>
              <w:jc w:val="center"/>
            </w:pPr>
            <w:r/>
            <w:r>
              <w:rPr>
                <w:rFonts w:ascii="Times New Roman" w:hAnsi="Times New Roman"/>
                <w:b/>
                <w:color w:val="FFFFFF"/>
                <w:sz w:val="18"/>
              </w:rPr>
              <w:t>Subtype</w:t>
            </w:r>
          </w:p>
        </w:tc>
        <w:tc>
          <w:tcPr>
            <w:tcW w:type="dxa" w:w="4320"/>
            <w:shd w:fill="1B3A5C" w:val="clear"/>
            <w:vAlign w:val="center"/>
          </w:tcPr>
          <w:p>
            <w:pPr>
              <w:jc w:val="center"/>
            </w:pPr>
            <w:r/>
            <w:r>
              <w:rPr>
                <w:rFonts w:ascii="Times New Roman" w:hAnsi="Times New Roman"/>
                <w:b/>
                <w:color w:val="FFFFFF"/>
                <w:sz w:val="18"/>
              </w:rPr>
              <w:t>Glucose PTP States</w:t>
            </w:r>
          </w:p>
        </w:tc>
        <w:tc>
          <w:tcPr>
            <w:tcW w:type="dxa" w:w="3888"/>
            <w:shd w:fill="1B3A5C" w:val="clear"/>
            <w:vAlign w:val="center"/>
          </w:tcPr>
          <w:p>
            <w:pPr>
              <w:jc w:val="center"/>
            </w:pPr>
            <w:r/>
            <w:r>
              <w:rPr>
                <w:rFonts w:ascii="Times New Roman" w:hAnsi="Times New Roman"/>
                <w:b/>
                <w:color w:val="FFFFFF"/>
                <w:sz w:val="18"/>
              </w:rPr>
              <w:t>Interpretation</w:t>
            </w:r>
          </w:p>
        </w:tc>
      </w:tr>
      <w:tr>
        <w:tc>
          <w:tcPr>
            <w:tcW w:type="dxa" w:w="1152"/>
            <w:vAlign w:val="center"/>
            <w:shd w:fill="EDF2F7" w:val="clear"/>
          </w:tcPr>
          <w:p>
            <w:r/>
            <w:r>
              <w:rPr>
                <w:rFonts w:ascii="Times New Roman" w:hAnsi="Times New Roman"/>
                <w:sz w:val="18"/>
              </w:rPr>
              <w:t>a</w:t>
            </w:r>
          </w:p>
        </w:tc>
        <w:tc>
          <w:tcPr>
            <w:tcW w:type="dxa" w:w="4320"/>
            <w:vAlign w:val="center"/>
            <w:shd w:fill="EDF2F7" w:val="clear"/>
          </w:tcPr>
          <w:p>
            <w:r/>
            <w:r>
              <w:rPr>
                <w:rFonts w:ascii="Times New Roman" w:hAnsi="Times New Roman"/>
                <w:sz w:val="18"/>
              </w:rPr>
              <w:t>Preserved, Recovered</w:t>
            </w:r>
          </w:p>
        </w:tc>
        <w:tc>
          <w:tcPr>
            <w:tcW w:type="dxa" w:w="3888"/>
            <w:vAlign w:val="center"/>
            <w:shd w:fill="EDF2F7" w:val="clear"/>
          </w:tcPr>
          <w:p>
            <w:r/>
            <w:r>
              <w:rPr>
                <w:rFonts w:ascii="Times New Roman" w:hAnsi="Times New Roman"/>
                <w:sz w:val="18"/>
              </w:rPr>
              <w:t>Glycemic regulation preserved or restored</w:t>
            </w:r>
          </w:p>
        </w:tc>
      </w:tr>
      <w:tr>
        <w:tc>
          <w:tcPr>
            <w:tcW w:type="dxa" w:w="1152"/>
            <w:vAlign w:val="center"/>
          </w:tcPr>
          <w:p>
            <w:r/>
            <w:r>
              <w:rPr>
                <w:rFonts w:ascii="Times New Roman" w:hAnsi="Times New Roman"/>
                <w:sz w:val="18"/>
              </w:rPr>
              <w:t>b</w:t>
            </w:r>
          </w:p>
        </w:tc>
        <w:tc>
          <w:tcPr>
            <w:tcW w:type="dxa" w:w="4320"/>
            <w:vAlign w:val="center"/>
          </w:tcPr>
          <w:p>
            <w:r/>
            <w:r>
              <w:rPr>
                <w:rFonts w:ascii="Times New Roman" w:hAnsi="Times New Roman"/>
                <w:sz w:val="18"/>
              </w:rPr>
              <w:t>Borderline Impaired, Impaired, Blunted</w:t>
            </w:r>
          </w:p>
        </w:tc>
        <w:tc>
          <w:tcPr>
            <w:tcW w:type="dxa" w:w="3888"/>
            <w:vAlign w:val="center"/>
          </w:tcPr>
          <w:p>
            <w:r/>
            <w:r>
              <w:rPr>
                <w:rFonts w:ascii="Times New Roman" w:hAnsi="Times New Roman"/>
                <w:sz w:val="18"/>
              </w:rPr>
              <w:t>Glycemic impairment / attenuation</w:t>
            </w:r>
          </w:p>
        </w:tc>
      </w:tr>
      <w:tr>
        <w:tc>
          <w:tcPr>
            <w:tcW w:type="dxa" w:w="1152"/>
            <w:vAlign w:val="center"/>
            <w:shd w:fill="EDF2F7" w:val="clear"/>
          </w:tcPr>
          <w:p>
            <w:r/>
            <w:r>
              <w:rPr>
                <w:rFonts w:ascii="Times New Roman" w:hAnsi="Times New Roman"/>
                <w:sz w:val="18"/>
              </w:rPr>
              <w:t>c</w:t>
            </w:r>
          </w:p>
        </w:tc>
        <w:tc>
          <w:tcPr>
            <w:tcW w:type="dxa" w:w="4320"/>
            <w:vAlign w:val="center"/>
            <w:shd w:fill="EDF2F7" w:val="clear"/>
          </w:tcPr>
          <w:p>
            <w:r/>
            <w:r>
              <w:rPr>
                <w:rFonts w:ascii="Times New Roman" w:hAnsi="Times New Roman"/>
                <w:sz w:val="18"/>
              </w:rPr>
              <w:t>Borderline Altered, Altered</w:t>
            </w:r>
          </w:p>
        </w:tc>
        <w:tc>
          <w:tcPr>
            <w:tcW w:type="dxa" w:w="3888"/>
            <w:vAlign w:val="center"/>
            <w:shd w:fill="EDF2F7" w:val="clear"/>
          </w:tcPr>
          <w:p>
            <w:r/>
            <w:r>
              <w:rPr>
                <w:rFonts w:ascii="Times New Roman" w:hAnsi="Times New Roman"/>
                <w:sz w:val="18"/>
              </w:rPr>
              <w:t>Glycemic dysregulation / excess</w:t>
            </w:r>
          </w:p>
        </w:tc>
      </w:tr>
    </w:tbl>
    <w:p>
      <w:pPr>
        <w:spacing w:after="240"/>
      </w:pPr>
      <w:r>
        <w:rPr>
          <w:rFonts w:ascii="Times New Roman" w:hAnsi="Times New Roman"/>
          <w:b w:val="0"/>
          <w:i/>
        </w:rPr>
        <w:t>Glucose was treated as a glycemic regulation signal rather than as an enteropancreatic hormone for integrated pattern assignment.</w:t>
      </w:r>
    </w:p>
    <w:p>
      <w:pPr>
        <w:pStyle w:val="Heading2"/>
      </w:pPr>
      <w:r>
        <w:t>6.4 Deterministic Precedence Hierarchy</w:t>
      </w:r>
    </w:p>
    <w:p>
      <w:r>
        <w:rPr>
          <w:rFonts w:ascii="Times New Roman" w:hAnsi="Times New Roman"/>
          <w:b w:val="0"/>
          <w:i w:val="0"/>
        </w:rPr>
        <w:t>Integrated pattern assignment followed the deterministic precedence hierarchy below. The rule is evaluated top-to-bottom; the first matching condition determines the type.</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1B3A5C" w:val="clear"/>
            <w:vAlign w:val="center"/>
          </w:tcPr>
          <w:p>
            <w:pPr>
              <w:jc w:val="center"/>
            </w:pPr>
            <w:r/>
            <w:r>
              <w:rPr>
                <w:rFonts w:ascii="Times New Roman" w:hAnsi="Times New Roman"/>
                <w:b/>
                <w:color w:val="FFFFFF"/>
                <w:sz w:val="18"/>
              </w:rPr>
              <w:t>Priority</w:t>
            </w:r>
          </w:p>
        </w:tc>
        <w:tc>
          <w:tcPr>
            <w:tcW w:type="dxa" w:w="5760"/>
            <w:shd w:fill="1B3A5C" w:val="clear"/>
            <w:vAlign w:val="center"/>
          </w:tcPr>
          <w:p>
            <w:pPr>
              <w:jc w:val="center"/>
            </w:pPr>
            <w:r/>
            <w:r>
              <w:rPr>
                <w:rFonts w:ascii="Times New Roman" w:hAnsi="Times New Roman"/>
                <w:b/>
                <w:color w:val="FFFFFF"/>
                <w:sz w:val="18"/>
              </w:rPr>
              <w:t>Condition</w:t>
            </w:r>
          </w:p>
        </w:tc>
        <w:tc>
          <w:tcPr>
            <w:tcW w:type="dxa" w:w="2160"/>
            <w:shd w:fill="1B3A5C" w:val="clear"/>
            <w:vAlign w:val="center"/>
          </w:tcPr>
          <w:p>
            <w:pPr>
              <w:jc w:val="center"/>
            </w:pPr>
            <w:r/>
            <w:r>
              <w:rPr>
                <w:rFonts w:ascii="Times New Roman" w:hAnsi="Times New Roman"/>
                <w:b/>
                <w:color w:val="FFFFFF"/>
                <w:sz w:val="18"/>
              </w:rPr>
              <w:t>Assigned Type</w:t>
            </w:r>
          </w:p>
        </w:tc>
      </w:tr>
      <w:tr>
        <w:tc>
          <w:tcPr>
            <w:tcW w:type="dxa" w:w="1440"/>
            <w:vAlign w:val="center"/>
            <w:shd w:fill="EDF2F7" w:val="clear"/>
          </w:tcPr>
          <w:p>
            <w:r/>
            <w:r>
              <w:rPr>
                <w:rFonts w:ascii="Times New Roman" w:hAnsi="Times New Roman"/>
                <w:sz w:val="18"/>
              </w:rPr>
              <w:t>1 (highest)</w:t>
            </w:r>
          </w:p>
        </w:tc>
        <w:tc>
          <w:tcPr>
            <w:tcW w:type="dxa" w:w="5760"/>
            <w:vAlign w:val="center"/>
            <w:shd w:fill="EDF2F7" w:val="clear"/>
          </w:tcPr>
          <w:p>
            <w:r/>
            <w:r>
              <w:rPr>
                <w:rFonts w:ascii="Times New Roman" w:hAnsi="Times New Roman"/>
                <w:sz w:val="18"/>
              </w:rPr>
              <w:t>Any non-glucose analyte is Altered</w:t>
            </w:r>
          </w:p>
        </w:tc>
        <w:tc>
          <w:tcPr>
            <w:tcW w:type="dxa" w:w="2160"/>
            <w:vAlign w:val="center"/>
            <w:shd w:fill="EDF2F7" w:val="clear"/>
          </w:tcPr>
          <w:p>
            <w:r/>
            <w:r>
              <w:rPr>
                <w:rFonts w:ascii="Times New Roman" w:hAnsi="Times New Roman"/>
                <w:sz w:val="18"/>
              </w:rPr>
              <w:t>Type IV.II</w:t>
            </w:r>
          </w:p>
        </w:tc>
      </w:tr>
      <w:tr>
        <w:tc>
          <w:tcPr>
            <w:tcW w:type="dxa" w:w="1440"/>
            <w:vAlign w:val="center"/>
          </w:tcPr>
          <w:p>
            <w:r/>
            <w:r>
              <w:rPr>
                <w:rFonts w:ascii="Times New Roman" w:hAnsi="Times New Roman"/>
                <w:sz w:val="18"/>
              </w:rPr>
              <w:t>2</w:t>
            </w:r>
          </w:p>
        </w:tc>
        <w:tc>
          <w:tcPr>
            <w:tcW w:type="dxa" w:w="5760"/>
            <w:vAlign w:val="center"/>
          </w:tcPr>
          <w:p>
            <w:r/>
            <w:r>
              <w:rPr>
                <w:rFonts w:ascii="Times New Roman" w:hAnsi="Times New Roman"/>
                <w:sz w:val="18"/>
              </w:rPr>
              <w:t>Any non-glucose analyte is Borderline Altered</w:t>
            </w:r>
          </w:p>
        </w:tc>
        <w:tc>
          <w:tcPr>
            <w:tcW w:type="dxa" w:w="2160"/>
            <w:vAlign w:val="center"/>
          </w:tcPr>
          <w:p>
            <w:r/>
            <w:r>
              <w:rPr>
                <w:rFonts w:ascii="Times New Roman" w:hAnsi="Times New Roman"/>
                <w:sz w:val="18"/>
              </w:rPr>
              <w:t>Type IV.I</w:t>
            </w:r>
          </w:p>
        </w:tc>
      </w:tr>
      <w:tr>
        <w:tc>
          <w:tcPr>
            <w:tcW w:type="dxa" w:w="1440"/>
            <w:vAlign w:val="center"/>
            <w:shd w:fill="EDF2F7" w:val="clear"/>
          </w:tcPr>
          <w:p>
            <w:r/>
            <w:r>
              <w:rPr>
                <w:rFonts w:ascii="Times New Roman" w:hAnsi="Times New Roman"/>
                <w:sz w:val="18"/>
              </w:rPr>
              <w:t>3a</w:t>
            </w:r>
          </w:p>
        </w:tc>
        <w:tc>
          <w:tcPr>
            <w:tcW w:type="dxa" w:w="5760"/>
            <w:vAlign w:val="center"/>
            <w:shd w:fill="EDF2F7" w:val="clear"/>
          </w:tcPr>
          <w:p>
            <w:r/>
            <w:r>
              <w:rPr>
                <w:rFonts w:ascii="Times New Roman" w:hAnsi="Times New Roman"/>
                <w:sz w:val="18"/>
              </w:rPr>
              <w:t>Any non-glucose analyte is Enhanced AND glucose = a AND no L1/L2</w:t>
            </w:r>
          </w:p>
        </w:tc>
        <w:tc>
          <w:tcPr>
            <w:tcW w:type="dxa" w:w="2160"/>
            <w:vAlign w:val="center"/>
            <w:shd w:fill="EDF2F7" w:val="clear"/>
          </w:tcPr>
          <w:p>
            <w:r/>
            <w:r>
              <w:rPr>
                <w:rFonts w:ascii="Times New Roman" w:hAnsi="Times New Roman"/>
                <w:sz w:val="18"/>
              </w:rPr>
              <w:t>Type II.II</w:t>
            </w:r>
          </w:p>
        </w:tc>
      </w:tr>
      <w:tr>
        <w:tc>
          <w:tcPr>
            <w:tcW w:type="dxa" w:w="1440"/>
            <w:vAlign w:val="center"/>
          </w:tcPr>
          <w:p>
            <w:r/>
            <w:r>
              <w:rPr>
                <w:rFonts w:ascii="Times New Roman" w:hAnsi="Times New Roman"/>
                <w:sz w:val="18"/>
              </w:rPr>
              <w:t>3b</w:t>
            </w:r>
          </w:p>
        </w:tc>
        <w:tc>
          <w:tcPr>
            <w:tcW w:type="dxa" w:w="5760"/>
            <w:vAlign w:val="center"/>
          </w:tcPr>
          <w:p>
            <w:r/>
            <w:r>
              <w:rPr>
                <w:rFonts w:ascii="Times New Roman" w:hAnsi="Times New Roman"/>
                <w:sz w:val="18"/>
              </w:rPr>
              <w:t>Any non-glucose analyte is Enhanced (otherwise)</w:t>
            </w:r>
          </w:p>
        </w:tc>
        <w:tc>
          <w:tcPr>
            <w:tcW w:type="dxa" w:w="2160"/>
            <w:vAlign w:val="center"/>
          </w:tcPr>
          <w:p>
            <w:r/>
            <w:r>
              <w:rPr>
                <w:rFonts w:ascii="Times New Roman" w:hAnsi="Times New Roman"/>
                <w:sz w:val="18"/>
              </w:rPr>
              <w:t>Type V.II</w:t>
            </w:r>
          </w:p>
        </w:tc>
      </w:tr>
      <w:tr>
        <w:tc>
          <w:tcPr>
            <w:tcW w:type="dxa" w:w="1440"/>
            <w:vAlign w:val="center"/>
            <w:shd w:fill="EDF2F7" w:val="clear"/>
          </w:tcPr>
          <w:p>
            <w:r/>
            <w:r>
              <w:rPr>
                <w:rFonts w:ascii="Times New Roman" w:hAnsi="Times New Roman"/>
                <w:sz w:val="18"/>
              </w:rPr>
              <w:t>4a</w:t>
            </w:r>
          </w:p>
        </w:tc>
        <w:tc>
          <w:tcPr>
            <w:tcW w:type="dxa" w:w="5760"/>
            <w:vAlign w:val="center"/>
            <w:shd w:fill="EDF2F7" w:val="clear"/>
          </w:tcPr>
          <w:p>
            <w:r/>
            <w:r>
              <w:rPr>
                <w:rFonts w:ascii="Times New Roman" w:hAnsi="Times New Roman"/>
                <w:sz w:val="18"/>
              </w:rPr>
              <w:t>Any non-glucose analyte is Borderline Enhanced AND glucose = a AND no L1/L2</w:t>
            </w:r>
          </w:p>
        </w:tc>
        <w:tc>
          <w:tcPr>
            <w:tcW w:type="dxa" w:w="2160"/>
            <w:vAlign w:val="center"/>
            <w:shd w:fill="EDF2F7" w:val="clear"/>
          </w:tcPr>
          <w:p>
            <w:r/>
            <w:r>
              <w:rPr>
                <w:rFonts w:ascii="Times New Roman" w:hAnsi="Times New Roman"/>
                <w:sz w:val="18"/>
              </w:rPr>
              <w:t>Type II.I</w:t>
            </w:r>
          </w:p>
        </w:tc>
      </w:tr>
      <w:tr>
        <w:tc>
          <w:tcPr>
            <w:tcW w:type="dxa" w:w="1440"/>
            <w:vAlign w:val="center"/>
          </w:tcPr>
          <w:p>
            <w:r/>
            <w:r>
              <w:rPr>
                <w:rFonts w:ascii="Times New Roman" w:hAnsi="Times New Roman"/>
                <w:sz w:val="18"/>
              </w:rPr>
              <w:t>4b</w:t>
            </w:r>
          </w:p>
        </w:tc>
        <w:tc>
          <w:tcPr>
            <w:tcW w:type="dxa" w:w="5760"/>
            <w:vAlign w:val="center"/>
          </w:tcPr>
          <w:p>
            <w:r/>
            <w:r>
              <w:rPr>
                <w:rFonts w:ascii="Times New Roman" w:hAnsi="Times New Roman"/>
                <w:sz w:val="18"/>
              </w:rPr>
              <w:t>Any non-glucose analyte is Borderline Enhanced (otherwise)</w:t>
            </w:r>
          </w:p>
        </w:tc>
        <w:tc>
          <w:tcPr>
            <w:tcW w:type="dxa" w:w="2160"/>
            <w:vAlign w:val="center"/>
          </w:tcPr>
          <w:p>
            <w:r/>
            <w:r>
              <w:rPr>
                <w:rFonts w:ascii="Times New Roman" w:hAnsi="Times New Roman"/>
                <w:sz w:val="18"/>
              </w:rPr>
              <w:t>Type V.I</w:t>
            </w:r>
          </w:p>
        </w:tc>
      </w:tr>
      <w:tr>
        <w:tc>
          <w:tcPr>
            <w:tcW w:type="dxa" w:w="1440"/>
            <w:vAlign w:val="center"/>
            <w:shd w:fill="EDF2F7" w:val="clear"/>
          </w:tcPr>
          <w:p>
            <w:r/>
            <w:r>
              <w:rPr>
                <w:rFonts w:ascii="Times New Roman" w:hAnsi="Times New Roman"/>
                <w:sz w:val="18"/>
              </w:rPr>
              <w:t>5</w:t>
            </w:r>
          </w:p>
        </w:tc>
        <w:tc>
          <w:tcPr>
            <w:tcW w:type="dxa" w:w="5760"/>
            <w:vAlign w:val="center"/>
            <w:shd w:fill="EDF2F7" w:val="clear"/>
          </w:tcPr>
          <w:p>
            <w:r/>
            <w:r>
              <w:rPr>
                <w:rFonts w:ascii="Times New Roman" w:hAnsi="Times New Roman"/>
                <w:sz w:val="18"/>
              </w:rPr>
              <w:t>Any non-glucose analyte is Impaired or Blunted</w:t>
            </w:r>
          </w:p>
        </w:tc>
        <w:tc>
          <w:tcPr>
            <w:tcW w:type="dxa" w:w="2160"/>
            <w:vAlign w:val="center"/>
            <w:shd w:fill="EDF2F7" w:val="clear"/>
          </w:tcPr>
          <w:p>
            <w:r/>
            <w:r>
              <w:rPr>
                <w:rFonts w:ascii="Times New Roman" w:hAnsi="Times New Roman"/>
                <w:sz w:val="18"/>
              </w:rPr>
              <w:t>Type III.II</w:t>
            </w:r>
          </w:p>
        </w:tc>
      </w:tr>
      <w:tr>
        <w:tc>
          <w:tcPr>
            <w:tcW w:type="dxa" w:w="1440"/>
            <w:vAlign w:val="center"/>
          </w:tcPr>
          <w:p>
            <w:r/>
            <w:r>
              <w:rPr>
                <w:rFonts w:ascii="Times New Roman" w:hAnsi="Times New Roman"/>
                <w:sz w:val="18"/>
              </w:rPr>
              <w:t>6</w:t>
            </w:r>
          </w:p>
        </w:tc>
        <w:tc>
          <w:tcPr>
            <w:tcW w:type="dxa" w:w="5760"/>
            <w:vAlign w:val="center"/>
          </w:tcPr>
          <w:p>
            <w:r/>
            <w:r>
              <w:rPr>
                <w:rFonts w:ascii="Times New Roman" w:hAnsi="Times New Roman"/>
                <w:sz w:val="18"/>
              </w:rPr>
              <w:t>Any non-glucose analyte is Borderline Impaired</w:t>
            </w:r>
          </w:p>
        </w:tc>
        <w:tc>
          <w:tcPr>
            <w:tcW w:type="dxa" w:w="2160"/>
            <w:vAlign w:val="center"/>
          </w:tcPr>
          <w:p>
            <w:r/>
            <w:r>
              <w:rPr>
                <w:rFonts w:ascii="Times New Roman" w:hAnsi="Times New Roman"/>
                <w:sz w:val="18"/>
              </w:rPr>
              <w:t>Type III.I</w:t>
            </w:r>
          </w:p>
        </w:tc>
      </w:tr>
      <w:tr>
        <w:tc>
          <w:tcPr>
            <w:tcW w:type="dxa" w:w="1440"/>
            <w:vAlign w:val="center"/>
            <w:shd w:fill="EDF2F7" w:val="clear"/>
          </w:tcPr>
          <w:p>
            <w:r/>
            <w:r>
              <w:rPr>
                <w:rFonts w:ascii="Times New Roman" w:hAnsi="Times New Roman"/>
                <w:sz w:val="18"/>
              </w:rPr>
              <w:t>7</w:t>
            </w:r>
          </w:p>
        </w:tc>
        <w:tc>
          <w:tcPr>
            <w:tcW w:type="dxa" w:w="5760"/>
            <w:vAlign w:val="center"/>
            <w:shd w:fill="EDF2F7" w:val="clear"/>
          </w:tcPr>
          <w:p>
            <w:r/>
            <w:r>
              <w:rPr>
                <w:rFonts w:ascii="Times New Roman" w:hAnsi="Times New Roman"/>
                <w:sz w:val="18"/>
              </w:rPr>
              <w:t>All classifiable non-glucose analytes are Preserved</w:t>
            </w:r>
          </w:p>
        </w:tc>
        <w:tc>
          <w:tcPr>
            <w:tcW w:type="dxa" w:w="2160"/>
            <w:vAlign w:val="center"/>
            <w:shd w:fill="EDF2F7" w:val="clear"/>
          </w:tcPr>
          <w:p>
            <w:r/>
            <w:r>
              <w:rPr>
                <w:rFonts w:ascii="Times New Roman" w:hAnsi="Times New Roman"/>
                <w:sz w:val="18"/>
              </w:rPr>
              <w:t>Type I.I</w:t>
            </w:r>
          </w:p>
        </w:tc>
      </w:tr>
      <w:tr>
        <w:tc>
          <w:tcPr>
            <w:tcW w:type="dxa" w:w="1440"/>
            <w:vAlign w:val="center"/>
          </w:tcPr>
          <w:p>
            <w:r/>
            <w:r>
              <w:rPr>
                <w:rFonts w:ascii="Times New Roman" w:hAnsi="Times New Roman"/>
                <w:sz w:val="18"/>
              </w:rPr>
              <w:t>8 (lowest)</w:t>
            </w:r>
          </w:p>
        </w:tc>
        <w:tc>
          <w:tcPr>
            <w:tcW w:type="dxa" w:w="5760"/>
            <w:vAlign w:val="center"/>
          </w:tcPr>
          <w:p>
            <w:r/>
            <w:r>
              <w:rPr>
                <w:rFonts w:ascii="Times New Roman" w:hAnsi="Times New Roman"/>
                <w:sz w:val="18"/>
              </w:rPr>
              <w:t>At least one Recovered, rest Preserved/Recovered</w:t>
            </w:r>
          </w:p>
        </w:tc>
        <w:tc>
          <w:tcPr>
            <w:tcW w:type="dxa" w:w="2160"/>
            <w:vAlign w:val="center"/>
          </w:tcPr>
          <w:p>
            <w:r/>
            <w:r>
              <w:rPr>
                <w:rFonts w:ascii="Times New Roman" w:hAnsi="Times New Roman"/>
                <w:sz w:val="18"/>
              </w:rPr>
              <w:t>Type I.II</w:t>
            </w:r>
          </w:p>
        </w:tc>
      </w:tr>
    </w:tbl>
    <w:p>
      <w:r>
        <w:br w:type="page"/>
      </w:r>
    </w:p>
    <w:p>
      <w:pPr>
        <w:pStyle w:val="Heading1"/>
      </w:pPr>
      <w:r>
        <w:t>7. Integrated Enteropancreatic Pattern Type Definitions</w:t>
      </w:r>
    </w:p>
    <w:p>
      <w:pPr>
        <w:pStyle w:val="Heading2"/>
      </w:pPr>
      <w:r>
        <w:t>7.1 Type I: Physiological Enteropancreatic–Metabolic State</w:t>
      </w:r>
    </w:p>
    <w:p>
      <w:r>
        <w:rPr>
          <w:rFonts w:ascii="Times New Roman" w:hAnsi="Times New Roman"/>
          <w:b/>
          <w:i w:val="0"/>
        </w:rPr>
        <w:t xml:space="preserve">Type I.I: </w:t>
      </w:r>
      <w:r>
        <w:rPr>
          <w:rFonts w:ascii="Times New Roman" w:hAnsi="Times New Roman"/>
          <w:b w:val="0"/>
          <w:i w:val="0"/>
        </w:rPr>
        <w:t>All classifiable non-glucose PTPs are Preserved and glucose subtype = a.</w:t>
      </w:r>
    </w:p>
    <w:p>
      <w:r>
        <w:rPr>
          <w:rFonts w:ascii="Times New Roman" w:hAnsi="Times New Roman"/>
          <w:b/>
          <w:i w:val="0"/>
        </w:rPr>
        <w:t xml:space="preserve">Type I.II: </w:t>
      </w:r>
      <w:r>
        <w:rPr>
          <w:rFonts w:ascii="Times New Roman" w:hAnsi="Times New Roman"/>
          <w:b w:val="0"/>
          <w:i w:val="0"/>
        </w:rPr>
        <w:t>At least one classifiable non-glucose PTP is Recovered, all remaining classifiable non-glucose PTPs are Preserved or Recovered, and glucose subtype = a. No classifiable non-glucose PTP may be in L1, L2, U1, U2, D1, or D2.</w:t>
      </w:r>
    </w:p>
    <w:p>
      <w:r>
        <w:rPr>
          <w:rFonts w:ascii="Times New Roman" w:hAnsi="Times New Roman"/>
          <w:b/>
          <w:i/>
        </w:rPr>
        <w:t xml:space="preserve">Interpretation: </w:t>
      </w:r>
      <w:r>
        <w:rPr>
          <w:rFonts w:ascii="Times New Roman" w:hAnsi="Times New Roman"/>
          <w:b w:val="0"/>
          <w:i/>
        </w:rPr>
        <w:t>Reference-concordant or restored physiologic periprandial responsiveness, without evidence of infra-physiological, dysphysiological, or maladaptively supra-physiological non-glucose signaling.</w:t>
      </w:r>
    </w:p>
    <w:p>
      <w:pPr>
        <w:pStyle w:val="Heading2"/>
      </w:pPr>
      <w:r>
        <w:t>7.2 Type II: Supra-Physiological but Metabolically Coherent State</w:t>
      </w:r>
    </w:p>
    <w:p>
      <w:r>
        <w:rPr>
          <w:rFonts w:ascii="Times New Roman" w:hAnsi="Times New Roman"/>
          <w:b/>
          <w:i w:val="0"/>
        </w:rPr>
        <w:t xml:space="preserve">Type II.I: </w:t>
      </w:r>
      <w:r>
        <w:rPr>
          <w:rFonts w:ascii="Times New Roman" w:hAnsi="Times New Roman"/>
          <w:b w:val="0"/>
          <w:i w:val="0"/>
        </w:rPr>
        <w:t>At least one classifiable non-glucose PTP is Borderline Enhanced, all remaining classifiable non-glucose PTPs are Preserved or Recovered, glucose subtype = a, and no classifiable non-glucose PTP is in L1, L2, D1, or D2.</w:t>
      </w:r>
    </w:p>
    <w:p>
      <w:r>
        <w:rPr>
          <w:rFonts w:ascii="Times New Roman" w:hAnsi="Times New Roman"/>
          <w:b/>
          <w:i w:val="0"/>
        </w:rPr>
        <w:t xml:space="preserve">Type II.II: </w:t>
      </w:r>
      <w:r>
        <w:rPr>
          <w:rFonts w:ascii="Times New Roman" w:hAnsi="Times New Roman"/>
          <w:b w:val="0"/>
          <w:i w:val="0"/>
        </w:rPr>
        <w:t>At least one classifiable non-glucose PTP is Enhanced, all remaining classifiable non-glucose PTPs are Preserved or Recovered, glucose subtype = a, and no classifiable non-glucose PTP is in L1, L2, D1, or D2.</w:t>
      </w:r>
    </w:p>
    <w:p>
      <w:r>
        <w:rPr>
          <w:rFonts w:ascii="Times New Roman" w:hAnsi="Times New Roman"/>
          <w:b/>
          <w:i/>
        </w:rPr>
        <w:t xml:space="preserve">Interpretation: </w:t>
      </w:r>
      <w:r>
        <w:rPr>
          <w:rFonts w:ascii="Times New Roman" w:hAnsi="Times New Roman"/>
          <w:b w:val="0"/>
          <w:i/>
        </w:rPr>
        <w:t>Supra-reference enteropancreatic responsiveness that remains physiologically coherent because glycemic regulation is preserved or recovered. This pattern is particularly relevant for post-bariatric incretin/satiety amplification (Pournaras et al., 2010; Laferrère, 2011, 2016).</w:t>
      </w:r>
    </w:p>
    <w:p>
      <w:pPr>
        <w:pStyle w:val="Heading2"/>
      </w:pPr>
      <w:r>
        <w:t>7.3 Type III: Infra-Physiological Enteropancreatic State</w:t>
      </w:r>
    </w:p>
    <w:p>
      <w:r>
        <w:rPr>
          <w:rFonts w:ascii="Times New Roman" w:hAnsi="Times New Roman"/>
          <w:b/>
          <w:i w:val="0"/>
        </w:rPr>
        <w:t xml:space="preserve">Type III.I: </w:t>
      </w:r>
      <w:r>
        <w:rPr>
          <w:rFonts w:ascii="Times New Roman" w:hAnsi="Times New Roman"/>
          <w:b w:val="0"/>
          <w:i w:val="0"/>
        </w:rPr>
        <w:t>At least one classifiable non-glucose PTP is Borderline Impaired, no classifiable non-glucose PTP is in L2, U1, U2, D1, or D2.</w:t>
      </w:r>
    </w:p>
    <w:p>
      <w:r>
        <w:rPr>
          <w:rFonts w:ascii="Times New Roman" w:hAnsi="Times New Roman"/>
          <w:b/>
          <w:i w:val="0"/>
        </w:rPr>
        <w:t xml:space="preserve">Type III.II: </w:t>
      </w:r>
      <w:r>
        <w:rPr>
          <w:rFonts w:ascii="Times New Roman" w:hAnsi="Times New Roman"/>
          <w:b w:val="0"/>
          <w:i w:val="0"/>
        </w:rPr>
        <w:t>At least one classifiable non-glucose PTP is Impaired or Blunted, and no classifiable non-glucose PTP is in U1, U2, D1, or D2.</w:t>
      </w:r>
    </w:p>
    <w:p>
      <w:r>
        <w:rPr>
          <w:rFonts w:ascii="Times New Roman" w:hAnsi="Times New Roman"/>
          <w:b/>
          <w:i/>
        </w:rPr>
        <w:t xml:space="preserve">Interpretation: </w:t>
      </w:r>
      <w:r>
        <w:rPr>
          <w:rFonts w:ascii="Times New Roman" w:hAnsi="Times New Roman"/>
          <w:b w:val="0"/>
          <w:i/>
        </w:rPr>
        <w:t>Infra-physiological enteropancreatic responsiveness characterized by reduced secretion, reduced suppression, impaired redistribution, or attenuated functional dynamics, with glycemic status captured separately by subtype. Subtypes: III.Ia/III.IIa (glucose a), III.Ib/III.IIb (glucose b), III.Ic/III.IIc (glucose c).</w:t>
      </w:r>
    </w:p>
    <w:p>
      <w:pPr>
        <w:pStyle w:val="Heading2"/>
      </w:pPr>
      <w:r>
        <w:t>7.4 Type IV: Dysphysiological Enteropancreatic State</w:t>
      </w:r>
    </w:p>
    <w:p>
      <w:r>
        <w:rPr>
          <w:rFonts w:ascii="Times New Roman" w:hAnsi="Times New Roman"/>
          <w:b/>
          <w:i w:val="0"/>
        </w:rPr>
        <w:t xml:space="preserve">Type IV.I: </w:t>
      </w:r>
      <w:r>
        <w:rPr>
          <w:rFonts w:ascii="Times New Roman" w:hAnsi="Times New Roman"/>
          <w:b w:val="0"/>
          <w:i w:val="0"/>
        </w:rPr>
        <w:t>At least one classifiable non-glucose PTP is Borderline Altered.</w:t>
      </w:r>
    </w:p>
    <w:p>
      <w:r>
        <w:rPr>
          <w:rFonts w:ascii="Times New Roman" w:hAnsi="Times New Roman"/>
          <w:b/>
          <w:i w:val="0"/>
        </w:rPr>
        <w:t xml:space="preserve">Type IV.II: </w:t>
      </w:r>
      <w:r>
        <w:rPr>
          <w:rFonts w:ascii="Times New Roman" w:hAnsi="Times New Roman"/>
          <w:b w:val="0"/>
          <w:i w:val="0"/>
        </w:rPr>
        <w:t>At least one classifiable non-glucose PTP is Altered.</w:t>
      </w:r>
    </w:p>
    <w:p>
      <w:r>
        <w:rPr>
          <w:rFonts w:ascii="Times New Roman" w:hAnsi="Times New Roman"/>
          <w:b/>
          <w:i/>
        </w:rPr>
        <w:t xml:space="preserve">Interpretation: </w:t>
      </w:r>
      <w:r>
        <w:rPr>
          <w:rFonts w:ascii="Times New Roman" w:hAnsi="Times New Roman"/>
          <w:b w:val="0"/>
          <w:i/>
        </w:rPr>
        <w:t>Dysphysiological enteropancreatic organization driven by pathologically shifted or maladaptive non-glucose responses, irrespective of whether other analytes are preserved, reduced, or enhanced. Subtypes: IV.Ia/IV.IIa (glucose a), IV.Ib/IV.IIb (glucose b), IV.Ic/IV.IIc (glucose c).</w:t>
      </w:r>
    </w:p>
    <w:p>
      <w:pPr>
        <w:pStyle w:val="Heading2"/>
      </w:pPr>
      <w:r>
        <w:t>7.5 Type V: Supra-Physiological State with Residual Metabolic Dysregulation</w:t>
      </w:r>
    </w:p>
    <w:p>
      <w:r>
        <w:rPr>
          <w:rFonts w:ascii="Times New Roman" w:hAnsi="Times New Roman"/>
          <w:b/>
          <w:i w:val="0"/>
        </w:rPr>
        <w:t xml:space="preserve">Type V.I: </w:t>
      </w:r>
      <w:r>
        <w:rPr>
          <w:rFonts w:ascii="Times New Roman" w:hAnsi="Times New Roman"/>
          <w:b w:val="0"/>
          <w:i w:val="0"/>
        </w:rPr>
        <w:t>At least one classifiable non-glucose PTP is Borderline Enhanced, no D1/D2, and the arm does not satisfy Type II.I because glucose subtype is b/c and/or one or more non-glucose analytes are in L1 or L2.</w:t>
      </w:r>
    </w:p>
    <w:p>
      <w:r>
        <w:rPr>
          <w:rFonts w:ascii="Times New Roman" w:hAnsi="Times New Roman"/>
          <w:b/>
          <w:i w:val="0"/>
        </w:rPr>
        <w:t xml:space="preserve">Type V.II: </w:t>
      </w:r>
      <w:r>
        <w:rPr>
          <w:rFonts w:ascii="Times New Roman" w:hAnsi="Times New Roman"/>
          <w:b w:val="0"/>
          <w:i w:val="0"/>
        </w:rPr>
        <w:t>At least one classifiable non-glucose PTP is Enhanced, no D1/D2, and the arm does not satisfy Type II.II because glucose subtype is b/c and/or one or more non-glucose analytes are in L1 or L2.</w:t>
      </w:r>
    </w:p>
    <w:p>
      <w:r>
        <w:rPr>
          <w:rFonts w:ascii="Times New Roman" w:hAnsi="Times New Roman"/>
          <w:b/>
          <w:i/>
        </w:rPr>
        <w:t xml:space="preserve">Interpretation: </w:t>
      </w:r>
      <w:r>
        <w:rPr>
          <w:rFonts w:ascii="Times New Roman" w:hAnsi="Times New Roman"/>
          <w:b w:val="0"/>
          <w:i/>
        </w:rPr>
        <w:t>Supra-reference enteropancreatic responsiveness occurring in the presence of residual glycemic abnormality and/or mixed lower-tail non-glucose abnormalities. Physiologically distinct from Type II because the supra-physiological signal is not metabolically clean. Subtypes: V.Ia/V.IIa (glucose a), V.Ib/V.IIb (glucose b), V.Ic/V.IIc (glucose c).</w:t>
      </w:r>
    </w:p>
    <w:p>
      <w:r>
        <w:br w:type="page"/>
      </w:r>
    </w:p>
    <w:p>
      <w:pPr>
        <w:pStyle w:val="Heading1"/>
      </w:pPr>
      <w:r>
        <w:t>8. Statistical and Reporting Rules</w:t>
      </w:r>
    </w:p>
    <w:p>
      <w:r>
        <w:rPr>
          <w:rFonts w:ascii="Times New Roman" w:hAnsi="Times New Roman"/>
          <w:b/>
          <w:i w:val="0"/>
        </w:rPr>
        <w:t xml:space="preserve">Rule 1. </w:t>
      </w:r>
      <w:r>
        <w:rPr>
          <w:rFonts w:ascii="Times New Roman" w:hAnsi="Times New Roman"/>
          <w:b w:val="0"/>
          <w:i w:val="0"/>
        </w:rPr>
        <w:t>Integrated pattern typing should be reported only in the classifiable subset.</w:t>
      </w:r>
    </w:p>
    <w:p>
      <w:r>
        <w:rPr>
          <w:rFonts w:ascii="Times New Roman" w:hAnsi="Times New Roman"/>
          <w:b/>
          <w:i w:val="0"/>
        </w:rPr>
        <w:t xml:space="preserve">Rule 2. </w:t>
      </w:r>
      <w:r>
        <w:rPr>
          <w:rFonts w:ascii="Times New Roman" w:hAnsi="Times New Roman"/>
          <w:b w:val="0"/>
          <w:i w:val="0"/>
        </w:rPr>
        <w:t>Exact frequency estimates must be interpreted as ecological cohort-time-arm counts, not participant-level prevalence.</w:t>
      </w:r>
    </w:p>
    <w:p>
      <w:r>
        <w:rPr>
          <w:rFonts w:ascii="Times New Roman" w:hAnsi="Times New Roman"/>
          <w:b/>
          <w:i w:val="0"/>
        </w:rPr>
        <w:t xml:space="preserve">Rule 3. </w:t>
      </w:r>
      <w:r>
        <w:rPr>
          <w:rFonts w:ascii="Times New Roman" w:hAnsi="Times New Roman"/>
          <w:b w:val="0"/>
          <w:i w:val="0"/>
        </w:rPr>
        <w:t>Primary-corpus Type I–V frequencies must be reported separately from corroborative source-reported pattern information.</w:t>
      </w:r>
    </w:p>
    <w:p>
      <w:r>
        <w:rPr>
          <w:rFonts w:ascii="Times New Roman" w:hAnsi="Times New Roman"/>
          <w:b/>
          <w:i w:val="0"/>
        </w:rPr>
        <w:t xml:space="preserve">Rule 4. </w:t>
      </w:r>
      <w:r>
        <w:rPr>
          <w:rFonts w:ascii="Times New Roman" w:hAnsi="Times New Roman"/>
          <w:b w:val="0"/>
          <w:i w:val="0"/>
        </w:rPr>
        <w:t>The secondary orthogonal shape-balance descriptor derived from ξ₂ and ξ₃ may be reported descriptively but must not replace ξ₂ and ξ₃ in integrated typing.</w:t>
      </w:r>
    </w:p>
    <w:p>
      <w:r>
        <w:rPr>
          <w:rFonts w:ascii="Times New Roman" w:hAnsi="Times New Roman"/>
          <w:b/>
          <w:i w:val="0"/>
        </w:rPr>
        <w:t xml:space="preserve">Rule 5. </w:t>
      </w:r>
      <w:r>
        <w:rPr>
          <w:rFonts w:ascii="Times New Roman" w:hAnsi="Times New Roman"/>
          <w:b w:val="0"/>
          <w:i w:val="0"/>
        </w:rPr>
        <w:t>When contradictory non-glucose PTP states are present, the deterministic precedence hierarchy (Section 6.4) determines the final integrated type.</w:t>
      </w:r>
    </w:p>
    <w:p>
      <w:r>
        <w:br w:type="page"/>
      </w:r>
    </w:p>
    <w:p>
      <w:pPr>
        <w:pStyle w:val="Heading1"/>
      </w:pPr>
      <w:r>
        <w:t>9. Physiological Rationale and Evidence Base</w:t>
      </w:r>
    </w:p>
    <w:p>
      <w:r>
        <w:rPr>
          <w:rFonts w:ascii="Times New Roman" w:hAnsi="Times New Roman"/>
          <w:b w:val="0"/>
          <w:i w:val="0"/>
        </w:rPr>
        <w:t>The classification framework presented here is grounded in several converging lines of evidence from enteroendocrine physiology, incretin biology, and bariatric-metabolic surgery outcomes.</w:t>
      </w:r>
    </w:p>
    <w:p>
      <w:pPr>
        <w:pStyle w:val="Heading2"/>
      </w:pPr>
      <w:r>
        <w:t>9.1 Incretin Hormone Dynamics and the Incretin Effect</w:t>
      </w:r>
    </w:p>
    <w:p>
      <w:r>
        <w:rPr>
          <w:rFonts w:ascii="Times New Roman" w:hAnsi="Times New Roman"/>
          <w:b w:val="0"/>
          <w:i w:val="0"/>
        </w:rPr>
        <w:t>Based on articles retrieved from PubMed, the incretin effect—the greater insulin secretory response following oral glucose compared with isoglycemic intravenous glucose—is markedly reduced or absent in type 2 diabetes (Nauck &amp; Müller, 2023). This reduction appears primarily driven by impaired insulinotropic action of GIP, while GLP-1 retains substantial potency. After Roux-en-Y gastric bypass (RYGB), postprandial GLP-1 concentrations increase three- to five-fold, and this enhancement is sustained over years (Laferrère, 2011; Laferrère, 2016). The exaggerated GLP-1 response post-RYGB is physiologically coherent when accompanied by preserved glycemic regulation, justifying the "Enhanced" classification in the secondary PTP framework.</w:t>
      </w:r>
    </w:p>
    <w:p>
      <w:pPr>
        <w:pStyle w:val="Heading2"/>
      </w:pPr>
      <w:r>
        <w:t>9.2 Post-Bariatric Gut Hormone Remodeling</w:t>
      </w:r>
    </w:p>
    <w:p>
      <w:r>
        <w:rPr>
          <w:rFonts w:ascii="Times New Roman" w:hAnsi="Times New Roman"/>
          <w:b w:val="0"/>
          <w:i w:val="0"/>
        </w:rPr>
        <w:t>According to PubMed, RYGB induces a sustained enhancement of postprandial PYY and GLP-1 responses over at least 24 months (Pournaras et al., 2010). Simultaneously, ghrelin suppression following meals is normalized after RYGB, returning from a blunted (obesity-associated) pattern to a reference-concordant postprandial suppression profile (Engström et al., 2007; Samat et al., 2013). The dissociation between GIP (which shows variable or unchanged responses post-RYGB) and GLP-1 (which shows robust amplification) underscores the importance of analyte-specific classification rather than a single composite incretin score (Bojsen-Møller et al., 2015; Shin et al., 2010).</w:t>
      </w:r>
    </w:p>
    <w:p>
      <w:pPr>
        <w:pStyle w:val="Heading2"/>
      </w:pPr>
      <w:r>
        <w:t>9.3 Functional Data Analysis in Periprandial Endocrinology</w:t>
      </w:r>
    </w:p>
    <w:p>
      <w:r>
        <w:rPr>
          <w:rFonts w:ascii="Times New Roman" w:hAnsi="Times New Roman"/>
          <w:b w:val="0"/>
          <w:i w:val="0"/>
        </w:rPr>
        <w:t>Functional Principal Component Analysis provides a principled decomposition of periprandial time-series into orthogonal modes of variation. PC1 captures global amplitude (the overall magnitude of the response), PC2 captures early-versus-late redistribution (reflecting, for example, the balance between first-phase and second-phase insulin secretion), and PC3 captures higher-order shape features such as biphasic patterns (Ramsay &amp; Silverman, 2005; Yao et al., 2005). Sparse FPCA methods allow application to irregularly sampled periprandial data typical of clinical studies (Yao et al., 2005). The use of standardized z-scores within the classification vector Z_ih ensures comparability across analytes with different measurement scales and physiological ranges (Wang et al., 2016).</w:t>
      </w:r>
    </w:p>
    <w:p>
      <w:r>
        <w:br w:type="page"/>
      </w:r>
    </w:p>
    <w:p>
      <w:pPr>
        <w:pStyle w:val="Heading1"/>
      </w:pPr>
      <w:r>
        <w:t>10. References</w:t>
      </w:r>
    </w:p>
    <w:p>
      <w:pPr>
        <w:spacing w:after="120" w:line="240" w:lineRule="auto"/>
        <w:ind w:left="720" w:hanging="720"/>
      </w:pPr>
      <w:r>
        <w:rPr>
          <w:rFonts w:ascii="Times New Roman" w:hAnsi="Times New Roman"/>
          <w:sz w:val="20"/>
        </w:rPr>
        <w:t>Bojsen-Møller, K. N. (2015). Mechanisms of improved glycaemic control after Roux-en-Y gastric bypass. Danish Medical Journal, 62(4), B5057.</w:t>
      </w:r>
    </w:p>
    <w:p>
      <w:pPr>
        <w:spacing w:after="120" w:line="240" w:lineRule="auto"/>
        <w:ind w:left="720" w:hanging="720"/>
      </w:pPr>
      <w:r>
        <w:rPr>
          <w:rFonts w:ascii="Times New Roman" w:hAnsi="Times New Roman"/>
          <w:sz w:val="20"/>
        </w:rPr>
        <w:t>Bojsen-Møller, K. N., Svane, M. S., Martinussen, C., Dirksen, C., Jørgensen, N. B., Jensen, J.-E. B., Jensen, C. Z., Torekov, S. S., Kristiansen, V. B., Rehfeld, J. F., Bork-Jensen, J., Grarup, N., Hansen, T., Hartmann, B., Holst, J. J., &amp; Madsbad, S. (2023). Primary weight loss failure after Roux-en-Y gastric bypass is characterized by impaired gut-hormone mediated regulation of food intake. International Journal of Obesity, 47(11), 1143–1151. https://doi.org/10.1038/s41366-023-01372-8</w:t>
      </w:r>
    </w:p>
    <w:p>
      <w:pPr>
        <w:spacing w:after="120" w:line="240" w:lineRule="auto"/>
        <w:ind w:left="720" w:hanging="720"/>
      </w:pPr>
      <w:r>
        <w:rPr>
          <w:rFonts w:ascii="Times New Roman" w:hAnsi="Times New Roman"/>
          <w:sz w:val="20"/>
        </w:rPr>
        <w:t>Docherty, N. G., &amp; Le Roux, C. W. (2015). Physiological adaptations following Roux-en-Y gastric bypass and the identification of targets for bariatric mimetic pharmacotherapy. Current Opinion in Pharmacology, 25, 23–29. https://doi.org/10.1016/j.coph.2015.09.012</w:t>
      </w:r>
    </w:p>
    <w:p>
      <w:pPr>
        <w:spacing w:after="120" w:line="240" w:lineRule="auto"/>
        <w:ind w:left="720" w:hanging="720"/>
      </w:pPr>
      <w:r>
        <w:rPr>
          <w:rFonts w:ascii="Times New Roman" w:hAnsi="Times New Roman"/>
          <w:sz w:val="20"/>
        </w:rPr>
        <w:t>Engström, B. E., Ohrvall, M., Sundbom, M., Lind, L., &amp; Karlsson, F. A. (2007). Meal suppression of circulating ghrelin is normalized in obese individuals following gastric bypass surgery. International Journal of Obesity, 31(3), 476–480. https://doi.org/10.1038/sj.ijo.0803440</w:t>
      </w:r>
    </w:p>
    <w:p>
      <w:pPr>
        <w:spacing w:after="120" w:line="240" w:lineRule="auto"/>
        <w:ind w:left="720" w:hanging="720"/>
      </w:pPr>
      <w:r>
        <w:rPr>
          <w:rFonts w:ascii="Times New Roman" w:hAnsi="Times New Roman"/>
          <w:sz w:val="20"/>
        </w:rPr>
        <w:t>Gil, S., Murai, I. H., Dantas, W. S., Merege-Filho, C. A. A., Leitão, A. E., Nicoletti, C. F., Lima, A. P., Benatti, F., Cleva, R., Santo, M. A., Kirwan, J. P., Gualano, B., &amp; Roschel, H. (2025). Roux-en-Y gastric bypass improves insulin response and secretion of GLP-1 and PYY in response to postprandial acute exercise. Obesity Surgery, 35(12), 4989–4999. https://doi.org/10.1007/s11695-025-08327-0</w:t>
      </w:r>
    </w:p>
    <w:p>
      <w:pPr>
        <w:spacing w:after="120" w:line="240" w:lineRule="auto"/>
        <w:ind w:left="720" w:hanging="720"/>
      </w:pPr>
      <w:r>
        <w:rPr>
          <w:rFonts w:ascii="Times New Roman" w:hAnsi="Times New Roman"/>
          <w:sz w:val="20"/>
        </w:rPr>
        <w:t>Holst, J. J. (2007). The physiology of glucagon-like peptide 1. Physiological Reviews, 87(4), 1409–1439. https://doi.org/10.1152/physrev.00034.2006</w:t>
      </w:r>
    </w:p>
    <w:p>
      <w:pPr>
        <w:spacing w:after="120" w:line="240" w:lineRule="auto"/>
        <w:ind w:left="720" w:hanging="720"/>
      </w:pPr>
      <w:r>
        <w:rPr>
          <w:rFonts w:ascii="Times New Roman" w:hAnsi="Times New Roman"/>
          <w:sz w:val="20"/>
        </w:rPr>
        <w:t>Laferrère, B. (2011). Diabetes remission after bariatric surgery: Is it just the incretins? International Journal of Obesity, 35(Suppl 3), S22–S25. https://doi.org/10.1038/ijo.2011.143</w:t>
      </w:r>
    </w:p>
    <w:p>
      <w:pPr>
        <w:spacing w:after="120" w:line="240" w:lineRule="auto"/>
        <w:ind w:left="720" w:hanging="720"/>
      </w:pPr>
      <w:r>
        <w:rPr>
          <w:rFonts w:ascii="Times New Roman" w:hAnsi="Times New Roman"/>
          <w:sz w:val="20"/>
        </w:rPr>
        <w:t>Laferrère, B. (2016). Bariatric surgery and obesity: Influence on the incretins. International Journal of Obesity Supplements, 6(Suppl 1), S32–S36. https://doi.org/10.1038/ijosup.2016.8</w:t>
      </w:r>
    </w:p>
    <w:p>
      <w:pPr>
        <w:spacing w:after="120" w:line="240" w:lineRule="auto"/>
        <w:ind w:left="720" w:hanging="720"/>
      </w:pPr>
      <w:r>
        <w:rPr>
          <w:rFonts w:ascii="Times New Roman" w:hAnsi="Times New Roman"/>
          <w:sz w:val="20"/>
        </w:rPr>
        <w:t>Mingrone, G., Panunzi, S., De Gaetano, A., Guidone, C., Iaconelli, A., Leccesi, L., Nanni, G., Pomp, A., Castagneto, M., Ghirlanda, G., &amp; Rubino, F. (2012). Bariatric surgery versus conventional medical therapy for type 2 diabetes. New England Journal of Medicine, 366(17), 1577–1585. https://doi.org/10.1056/NEJMoa1200111</w:t>
      </w:r>
    </w:p>
    <w:p>
      <w:pPr>
        <w:spacing w:after="120" w:line="240" w:lineRule="auto"/>
        <w:ind w:left="720" w:hanging="720"/>
      </w:pPr>
      <w:r>
        <w:rPr>
          <w:rFonts w:ascii="Times New Roman" w:hAnsi="Times New Roman"/>
          <w:sz w:val="20"/>
        </w:rPr>
        <w:t>Müller, H.-G. (2005). Functional modelling and classification of longitudinal data. Scandinavian Journal of Statistics, 32(2), 223–240. https://doi.org/10.1111/j.1467-9469.2005.00429.x</w:t>
      </w:r>
    </w:p>
    <w:p>
      <w:pPr>
        <w:spacing w:after="120" w:line="240" w:lineRule="auto"/>
        <w:ind w:left="720" w:hanging="720"/>
      </w:pPr>
      <w:r>
        <w:rPr>
          <w:rFonts w:ascii="Times New Roman" w:hAnsi="Times New Roman"/>
          <w:sz w:val="20"/>
        </w:rPr>
        <w:t>Nauck, M. A., &amp; Müller, T. D. (2023). Incretin hormones and type 2 diabetes. Diabetologia, 66(10), 1780–1795. https://doi.org/10.1007/s00125-023-05956-x</w:t>
      </w:r>
    </w:p>
    <w:p>
      <w:pPr>
        <w:spacing w:after="120" w:line="240" w:lineRule="auto"/>
        <w:ind w:left="720" w:hanging="720"/>
      </w:pPr>
      <w:r>
        <w:rPr>
          <w:rFonts w:ascii="Times New Roman" w:hAnsi="Times New Roman"/>
          <w:sz w:val="20"/>
        </w:rPr>
        <w:t>Pournaras, D. J., Osborne, A., Hawkins, S. C., Mahon, D., Ghatei, M. A., Bloom, S. R., Welbourn, R., &amp; le Roux, C. W. (2010). The gut hormone response following Roux-en-Y gastric bypass: Cross-sectional and prospective study. Obesity Surgery, 20(1), 56–60. https://doi.org/10.1007/s11695-009-9989-1</w:t>
      </w:r>
    </w:p>
    <w:p>
      <w:pPr>
        <w:spacing w:after="120" w:line="240" w:lineRule="auto"/>
        <w:ind w:left="720" w:hanging="720"/>
      </w:pPr>
      <w:r>
        <w:rPr>
          <w:rFonts w:ascii="Times New Roman" w:hAnsi="Times New Roman"/>
          <w:sz w:val="20"/>
        </w:rPr>
        <w:t>Ramsay, J. O., &amp; Silverman, B. W. (2005). Functional data analysis (2nd ed.). Springer.</w:t>
      </w:r>
    </w:p>
    <w:p>
      <w:pPr>
        <w:spacing w:after="120" w:line="240" w:lineRule="auto"/>
        <w:ind w:left="720" w:hanging="720"/>
      </w:pPr>
      <w:r>
        <w:rPr>
          <w:rFonts w:ascii="Times New Roman" w:hAnsi="Times New Roman"/>
          <w:sz w:val="20"/>
        </w:rPr>
        <w:t>Samat, A., Malin, S. K., Huang, H., Schauer, P. R., Kirwan, J. P., &amp; Kashyap, S. R. (2013). Ghrelin suppression is associated with weight loss and insulin action following gastric bypass surgery at 12 months in obese adults with type 2 diabetes. Diabetes, Obesity and Metabolism, 15(10), 963–966. https://doi.org/10.1111/dom.12118</w:t>
      </w:r>
    </w:p>
    <w:p>
      <w:pPr>
        <w:spacing w:after="120" w:line="240" w:lineRule="auto"/>
        <w:ind w:left="720" w:hanging="720"/>
      </w:pPr>
      <w:r>
        <w:rPr>
          <w:rFonts w:ascii="Times New Roman" w:hAnsi="Times New Roman"/>
          <w:sz w:val="20"/>
        </w:rPr>
        <w:t>Schauer, P. R., Bhatt, D. L., Kirwan, J. P., Wolski, K., Aminian, A., Brethauer, S. A., Navaneethan, S. D., Singh, R. P., Pothier, C. E., Nissen, S. E., &amp; Kashyap, S. R. (2017). Bariatric surgery versus intensive medical therapy for diabetes—5-year outcomes. New England Journal of Medicine, 376(7), 641–651. https://doi.org/10.1056/NEJMoa1600869</w:t>
      </w:r>
    </w:p>
    <w:p>
      <w:pPr>
        <w:spacing w:after="120" w:line="240" w:lineRule="auto"/>
        <w:ind w:left="720" w:hanging="720"/>
      </w:pPr>
      <w:r>
        <w:rPr>
          <w:rFonts w:ascii="Times New Roman" w:hAnsi="Times New Roman"/>
          <w:sz w:val="20"/>
        </w:rPr>
        <w:t>Shin, A. C., Zheng, H., Townsend, R. L., Sigalet, D. L., &amp; Berthoud, H.-R. (2010). Meal-induced hormone responses in a rat model of Roux-en-Y gastric bypass surgery. Endocrinology, 151(4), 1588–1597. https://doi.org/10.1210/en.2009-1332</w:t>
      </w:r>
    </w:p>
    <w:p>
      <w:pPr>
        <w:spacing w:after="120" w:line="240" w:lineRule="auto"/>
        <w:ind w:left="720" w:hanging="720"/>
      </w:pPr>
      <w:r>
        <w:rPr>
          <w:rFonts w:ascii="Times New Roman" w:hAnsi="Times New Roman"/>
          <w:sz w:val="20"/>
        </w:rPr>
        <w:t>Slouha, E., Elkersh, E. M., Shay, A., Ghosh, S., Mahmood, A., &amp; Gorantla, V. R. (2023). Significance of hormone alteration following bariatric surgery. Cureus, 15(11), e49053. https://doi.org/10.7759/cureus.49053</w:t>
      </w:r>
    </w:p>
    <w:p>
      <w:pPr>
        <w:spacing w:after="120" w:line="240" w:lineRule="auto"/>
        <w:ind w:left="720" w:hanging="720"/>
      </w:pPr>
      <w:r>
        <w:rPr>
          <w:rFonts w:ascii="Times New Roman" w:hAnsi="Times New Roman"/>
          <w:sz w:val="20"/>
        </w:rPr>
        <w:t>Wang, J.-L., Chiou, J.-M., &amp; Müller, H.-G. (2016). Functional data analysis. Annual Review of Statistics and Its Application, 3, 257–295. https://doi.org/10.1146/annurev-statistics-041715-033624</w:t>
      </w:r>
    </w:p>
    <w:p>
      <w:pPr>
        <w:spacing w:after="120" w:line="240" w:lineRule="auto"/>
        <w:ind w:left="720" w:hanging="720"/>
      </w:pPr>
      <w:r>
        <w:rPr>
          <w:rFonts w:ascii="Times New Roman" w:hAnsi="Times New Roman"/>
          <w:sz w:val="20"/>
        </w:rPr>
        <w:t>Yao, F., Müller, H.-G., &amp; Wang, J.-L. (2005). Functional data analysis for sparse longitudinal data. Journal of the American Statistical Association, 100(470), 577–590. https://doi.org/10.1198/016214504000001745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2E5984"/>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Times New Roman" w:hAnsi="Times New Roman"/>
      <w:b/>
      <w:bCs/>
      <w:i/>
      <w:iCs/>
      <w:color w:val="2E598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