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Multivariate functional principal component eigenfunctions of the entero-pancreatic system: conceptual and physiological foundations of the FDEP-TP framework for periprandial phenotype characterisation</w:t>
      </w:r>
    </w:p>
    <w:p>
      <w:pPr>
        <w:pStyle w:val="Subtitle"/>
      </w:pPr>
      <w:r>
        <w:t xml:space="preserve">Lancet Diabetes &amp; Endocrinology — Article (Original Research)</w:t>
      </w:r>
    </w:p>
    <w:p>
      <w:pPr>
        <w:pStyle w:val="Author"/>
      </w:pPr>
      <w:r>
        <w:t xml:space="preserve">Héctor M. Virgen-Ayala</w:t>
      </w:r>
    </w:p>
    <w:p>
      <w:pPr>
        <w:pStyle w:val="Date"/>
      </w:pPr>
      <w:r>
        <w:t xml:space="preserve">2026-05-09</w:t>
      </w:r>
    </w:p>
    <w:bookmarkStart w:id="9" w:name="summary"/>
    <w:p>
      <w:pPr>
        <w:pStyle w:val="Heading1"/>
      </w:pPr>
      <w:r>
        <w:t xml:space="preserve">Summary</w:t>
      </w:r>
    </w:p>
    <w:p>
      <w:pPr>
        <w:pStyle w:val="FirstParagraph"/>
      </w:pPr>
      <w:r>
        <w:rPr>
          <w:b/>
          <w:bCs/>
        </w:rPr>
        <w:t xml:space="preserve">Background.</w:t>
      </w:r>
      <w:r>
        <w:t xml:space="preserve"> </w:t>
      </w:r>
      <w:r>
        <w:t xml:space="preserve">The entero-pancreatic axis is a coupled secretion–inhibition oscillator on the periprandial transition. Data-driven taxonomies of metabolic disease classify individuals using static cross-sectional variables and discard the temporal geometry that distinguishes a brisk first-phase incretin pulse from a delayed, blunted, or biphasic response. We aimed to interpret the joint enteropancreatic axis as a multivariate functional object, anchored on the four leading multivariate functional principal component (mFPC) eigenfunctions of the joint operator.</w:t>
      </w:r>
    </w:p>
    <w:p>
      <w:pPr>
        <w:pStyle w:val="BodyText"/>
      </w:pPr>
      <w:r>
        <w:rPr>
          <w:b/>
          <w:bCs/>
        </w:rPr>
        <w:t xml:space="preserve">Methods.</w:t>
      </w:r>
      <w:r>
        <w:t xml:space="preserve"> </w:t>
      </w:r>
      <w:r>
        <w:t xml:space="preserve">Pre-registered ecological analysis at the cohort-time-arm level (OSF DOI 10.17605/OSF.IO/3CZRE; v10·0 protocol frozen 2026-04-22). Twenty-three source studies contributed 71 (Author × Cohort) tuples and 55 cohort-time-arms across seven cohorts and 11 analyte forms. Covariance-operator construction, BLUP estimation, FACEs kernel, and Golovkine 2025 component selection are described in companion paper A2. Four conceptual moves anchor the present article: the periprandial transition as the unit of analysis,</w:t>
      </w:r>
      <w:r>
        <w:t xml:space="preserve"> </w:t>
      </w:r>
      <w:r>
        <w:rPr>
          <w:b/>
          <w:bCs/>
        </w:rPr>
        <w:t xml:space="preserve">physiologic periprandial responsiveness</w:t>
      </w:r>
      <w:r>
        <w:t xml:space="preserve"> </w:t>
      </w:r>
      <w:r>
        <w:t xml:space="preserve">as the operational construct, weight as a contextual modifier (Laferrère 2008; Rubino 2025), and the non-obese-without-T2D cohort as the reference.</w:t>
      </w:r>
    </w:p>
    <w:p>
      <w:pPr>
        <w:pStyle w:val="BodyText"/>
      </w:pPr>
      <w:r>
        <w:rPr>
          <w:b/>
          <w:bCs/>
        </w:rPr>
        <w:t xml:space="preserve">Findings.</w:t>
      </w:r>
      <w:r>
        <w:t xml:space="preserve"> </w:t>
      </w:r>
      <w:r>
        <w:t xml:space="preserve">From 2,750 pseudo-subjects the joint Happ–Greven operator retained K=12 components (cumulative multivariate-FVE 92 %; N/K=29·2). The first joint eigenfunction was PYY-dominant (‖·‖² = 0·762) with secondary integrated incretin contribution 0·211 — capturing distal L-cell variation rather than incretin-amplitude contrast. The second discriminated early-peak GIP and insulin from late-peak GLP-1 and PYY (proximal-versus-distal entero-endocrine sequencing). The third captured biphasic glucose–insulin coupling; the fourth, fasting ghrelin tone versus postprandial suppression. Pillai trace on the joint score panel (n=350) yielded omnibus F=18·29 with Post-CR F=52·09; subject-level bootstrap stability was ≥ 80 % per cohort.</w:t>
      </w:r>
    </w:p>
    <w:p>
      <w:pPr>
        <w:pStyle w:val="BodyText"/>
      </w:pPr>
      <w:r>
        <w:rPr>
          <w:b/>
          <w:bCs/>
        </w:rPr>
        <w:t xml:space="preserve">Interpretation.</w:t>
      </w:r>
      <w:r>
        <w:t xml:space="preserve"> </w:t>
      </w:r>
      <w:r>
        <w:t xml:space="preserve">The four leading joint mFPC eigenfunctions admit physiological reading anchored in the classical incretin and satiety literature: distal L-cell dominance, proximal-versus-distal sequencing, biphasic glucose–insulin coupling, and ghrelin tone. The framework is descriptive-inferential and hypothesis-generating; it does not predict individual outcomes and requires individual-participant validation before clinical translation.</w:t>
      </w:r>
    </w:p>
    <w:p>
      <w:pPr>
        <w:pStyle w:val="BodyText"/>
      </w:pPr>
      <w:r>
        <w:rPr>
          <w:b/>
          <w:bCs/>
        </w:rPr>
        <w:t xml:space="preserve">Funding.</w:t>
      </w:r>
      <w:r>
        <w:t xml:space="preserve"> </w:t>
      </w:r>
      <w:r>
        <w:t xml:space="preserve">None.</w:t>
      </w:r>
    </w:p>
    <w:p>
      <w:r>
        <w:pict>
          <v:rect style="width:0;height:1.5pt" o:hralign="center" o:hrstd="t" o:hr="t"/>
        </w:pict>
      </w:r>
    </w:p>
    <w:bookmarkEnd w:id="9"/>
    <w:bookmarkStart w:id="10" w:name="research-in-context"/>
    <w:p>
      <w:pPr>
        <w:pStyle w:val="Heading1"/>
      </w:pPr>
      <w:r>
        <w:t xml:space="preserve">Research in context</w:t>
      </w:r>
    </w:p>
    <w:p>
      <w:pPr>
        <w:pStyle w:val="FirstParagraph"/>
      </w:pPr>
      <w:r>
        <w:rPr>
          <w:b/>
          <w:bCs/>
        </w:rPr>
        <w:t xml:space="preserve">Evidence before this study.</w:t>
      </w:r>
      <w:r>
        <w:t xml:space="preserve"> </w:t>
      </w:r>
      <w:r>
        <w:t xml:space="preserve">A search of PubMed, Embase, and Web of Science from inception to 31 March 2026 (terms:</w:t>
      </w:r>
      <w:r>
        <w:t xml:space="preserve"> </w:t>
      </w:r>
      <w:r>
        <w:t xml:space="preserve">“incretin”</w:t>
      </w:r>
      <w:r>
        <w:t xml:space="preserve">,</w:t>
      </w:r>
      <w:r>
        <w:t xml:space="preserve"> </w:t>
      </w:r>
      <w:r>
        <w:t xml:space="preserve">“GLP-1”</w:t>
      </w:r>
      <w:r>
        <w:t xml:space="preserve">,</w:t>
      </w:r>
      <w:r>
        <w:t xml:space="preserve"> </w:t>
      </w:r>
      <w:r>
        <w:t xml:space="preserve">“GIP”</w:t>
      </w:r>
      <w:r>
        <w:t xml:space="preserve">,</w:t>
      </w:r>
      <w:r>
        <w:t xml:space="preserve"> </w:t>
      </w:r>
      <w:r>
        <w:t xml:space="preserve">“ghrelin”</w:t>
      </w:r>
      <w:r>
        <w:t xml:space="preserve">,</w:t>
      </w:r>
      <w:r>
        <w:t xml:space="preserve"> </w:t>
      </w:r>
      <w:r>
        <w:t xml:space="preserve">“PYY”</w:t>
      </w:r>
      <w:r>
        <w:t xml:space="preserve">,</w:t>
      </w:r>
      <w:r>
        <w:t xml:space="preserve"> </w:t>
      </w:r>
      <w:r>
        <w:t xml:space="preserve">“periprandial”</w:t>
      </w:r>
      <w:r>
        <w:t xml:space="preserve">,</w:t>
      </w:r>
      <w:r>
        <w:t xml:space="preserve"> </w:t>
      </w:r>
      <w:r>
        <w:t xml:space="preserve">“postprandial”</w:t>
      </w:r>
      <w:r>
        <w:t xml:space="preserve">,</w:t>
      </w:r>
      <w:r>
        <w:t xml:space="preserve"> </w:t>
      </w:r>
      <w:r>
        <w:t xml:space="preserve">“functional principal component analysis”</w:t>
      </w:r>
      <w:r>
        <w:t xml:space="preserve">,</w:t>
      </w:r>
      <w:r>
        <w:t xml:space="preserve"> </w:t>
      </w:r>
      <w:r>
        <w:t xml:space="preserve">“multivariate FPCA”</w:t>
      </w:r>
      <w:r>
        <w:t xml:space="preserve">,</w:t>
      </w:r>
      <w:r>
        <w:t xml:space="preserve"> </w:t>
      </w:r>
      <w:r>
        <w:t xml:space="preserve">“Roux-en-Y gastric bypass”</w:t>
      </w:r>
      <w:r>
        <w:t xml:space="preserve">,</w:t>
      </w:r>
      <w:r>
        <w:t xml:space="preserve"> </w:t>
      </w:r>
      <w:r>
        <w:t xml:space="preserve">“sleeve gastrectomy”</w:t>
      </w:r>
      <w:r>
        <w:t xml:space="preserve">,</w:t>
      </w:r>
      <w:r>
        <w:t xml:space="preserve"> </w:t>
      </w:r>
      <w:r>
        <w:t xml:space="preserve">“T2DM phenotyping”</w:t>
      </w:r>
      <w:r>
        <w:t xml:space="preserve">,</w:t>
      </w:r>
      <w:r>
        <w:t xml:space="preserve"> </w:t>
      </w:r>
      <w:r>
        <w:t xml:space="preserve">“data-driven diabetes subtypes”</w:t>
      </w:r>
      <w:r>
        <w:t xml:space="preserve">) and validation against three landmark reviews returned no taxonomy that decomposes multi-hormonal periprandial trajectories as functional objects. The Ahlqvist five-cluster taxonomy</w:t>
      </w:r>
      <w:r>
        <w:rPr>
          <w:vertAlign w:val="superscript"/>
        </w:rPr>
        <w:t xml:space="preserve">1</w:t>
      </w:r>
      <w:r>
        <w:t xml:space="preserve">, the Udler genetically-informed soft clusters</w:t>
      </w:r>
      <w:r>
        <w:rPr>
          <w:vertAlign w:val="superscript"/>
        </w:rPr>
        <w:t xml:space="preserve">2</w:t>
      </w:r>
      <w:r>
        <w:t xml:space="preserve">, and the Tübingen prediabetes subphenotypes</w:t>
      </w:r>
      <w:r>
        <w:rPr>
          <w:vertAlign w:val="superscript"/>
        </w:rPr>
        <w:t xml:space="preserve">3</w:t>
      </w:r>
      <w:r>
        <w:t xml:space="preserve"> </w:t>
      </w:r>
      <w:r>
        <w:t xml:space="preserve">use cross-sectional clinical, genetic, or imaging variables. Glucose-curve functional analyses</w:t>
      </w:r>
      <w:r>
        <w:rPr>
          <w:vertAlign w:val="superscript"/>
        </w:rPr>
        <w:t xml:space="preserve">4,5</w:t>
      </w:r>
      <w:r>
        <w:t xml:space="preserve"> </w:t>
      </w:r>
      <w:r>
        <w:t xml:space="preserve">decompose a single trajectory; none integrates incretin, ghrelin, and PYY dynamics with glucose and insulin. The classical entero-pancreatic literature</w:t>
      </w:r>
      <w:r>
        <w:rPr>
          <w:vertAlign w:val="superscript"/>
        </w:rPr>
        <w:t xml:space="preserve">6–10</w:t>
      </w:r>
      <w:r>
        <w:t xml:space="preserve"> </w:t>
      </w:r>
      <w:r>
        <w:t xml:space="preserve">supplies a mechanistic vocabulary that has yet to be mapped onto the joint multivariate axes of the periprandial response.</w:t>
      </w:r>
    </w:p>
    <w:p>
      <w:pPr>
        <w:pStyle w:val="BodyText"/>
      </w:pPr>
      <w:r>
        <w:rPr>
          <w:b/>
          <w:bCs/>
        </w:rPr>
        <w:t xml:space="preserve">Added value of this study.</w:t>
      </w:r>
      <w:r>
        <w:t xml:space="preserve"> </w:t>
      </w:r>
      <w:r>
        <w:t xml:space="preserve">Four leading mFPC eigenfunctions of the joint enteropancreatic operator are interpreted physiologically and assigned reference signatures from the classical incretin and satiety literature. Three consequences follow. First, the first joint eigenfunction is</w:t>
      </w:r>
      <w:r>
        <w:t xml:space="preserve"> </w:t>
      </w:r>
      <w:r>
        <w:rPr>
          <w:b/>
          <w:bCs/>
        </w:rPr>
        <w:t xml:space="preserve">PYY-dominant</w:t>
      </w:r>
      <w:r>
        <w:t xml:space="preserve"> </w:t>
      </w:r>
      <w:r>
        <w:t xml:space="preserve">(integrated squared L²-norm 0·762) with a secondary integrated incretin contribution (0·211): the joint enteropancreatic axis is not incretin-dominated when normalised against the smallest-block constraint with Chiou weights, contradicting prior accounts that frame the post-bariatric phenotype as primarily incretin-driven. Second, the second joint eigenfunction</w:t>
      </w:r>
      <w:r>
        <w:t xml:space="preserve"> </w:t>
      </w:r>
      <w:r>
        <w:rPr>
          <w:b/>
          <w:bCs/>
        </w:rPr>
        <w:t xml:space="preserve">separates proximal K-cell from distal L-cell sequencing</w:t>
      </w:r>
      <w:r>
        <w:t xml:space="preserve">, recovering an anatomical gradient that cohort-level static taxonomies cannot resolve. Third, the third and fourth joint eigenfunctions capture</w:t>
      </w:r>
      <w:r>
        <w:t xml:space="preserve"> </w:t>
      </w:r>
      <w:r>
        <w:rPr>
          <w:b/>
          <w:bCs/>
        </w:rPr>
        <w:t xml:space="preserve">biphasic glucose–insulin coupling</w:t>
      </w:r>
      <w:r>
        <w:t xml:space="preserve"> </w:t>
      </w:r>
      <w:r>
        <w:t xml:space="preserve">and</w:t>
      </w:r>
      <w:r>
        <w:t xml:space="preserve"> </w:t>
      </w:r>
      <w:r>
        <w:rPr>
          <w:b/>
          <w:bCs/>
        </w:rPr>
        <w:t xml:space="preserve">ghrelin tone</w:t>
      </w:r>
      <w:r>
        <w:t xml:space="preserve">, providing a four-axis decomposition that is interpretable against classical mechanism reviews.</w:t>
      </w:r>
    </w:p>
    <w:p>
      <w:pPr>
        <w:pStyle w:val="BodyText"/>
      </w:pPr>
      <w:r>
        <w:rPr>
          <w:b/>
          <w:bCs/>
        </w:rPr>
        <w:t xml:space="preserve">Implications of all the available evidence.</w:t>
      </w:r>
      <w:r>
        <w:t xml:space="preserve"> </w:t>
      </w:r>
      <w:r>
        <w:t xml:space="preserve">Persistent dysphysiological signalling — rather than uniform normalisation — characterises the post-bariatric and post-caloric-restriction states on the four-axis decomposition; this reframes how clinicians interpret periprandial hormone responses. The framework is hypothesis-generating: percentile thresholds and cohort assignments derived from cohort-level aggregate data require prospective individual-participant validation before clinical translation. Companion paper A2 supplies the mathematical and statistical layer, and companion paper A3 develops the procedural and translational application.</w:t>
      </w:r>
    </w:p>
    <w:p>
      <w:r>
        <w:pict>
          <v:rect style="width:0;height:1.5pt" o:hralign="center" o:hrstd="t" o:hr="t"/>
        </w:pict>
      </w:r>
    </w:p>
    <w:bookmarkEnd w:id="10"/>
    <w:bookmarkStart w:id="11" w:name="introduction"/>
    <w:p>
      <w:pPr>
        <w:pStyle w:val="Heading1"/>
      </w:pPr>
      <w:r>
        <w:t xml:space="preserve">Introduction</w:t>
      </w:r>
    </w:p>
    <w:p>
      <w:pPr>
        <w:pStyle w:val="FirstParagraph"/>
      </w:pPr>
      <w:r>
        <w:t xml:space="preserve">The entero-pancreatic axis behaves as a coupled oscillator. Distal L-cells release glucagon-like peptide-1 (GLP-1) and peptide YY (PYY) in response to luminal nutrient transit; proximal K-cells release glucose-dependent insulinotropic peptide (GIP) earlier in the absorptive sequence; pancreatic islets translate the integrated incretin signal into a biphasic insulin response coupled to glucose absorption kinetics; gastric ghrelin is suppressed across the same window. Each of these signals has been described in isolation</w:t>
      </w:r>
      <w:r>
        <w:rPr>
          <w:vertAlign w:val="superscript"/>
        </w:rPr>
        <w:t xml:space="preserve">6–9,11</w:t>
      </w:r>
      <w:r>
        <w:t xml:space="preserve">, yet the joint geometry that couples them across the periprandial transition has, to our knowledge, not been decomposed into its eigen-axes.</w:t>
      </w:r>
    </w:p>
    <w:p>
      <w:pPr>
        <w:pStyle w:val="BodyText"/>
      </w:pPr>
      <w:r>
        <w:t xml:space="preserve">Functional data analysis offers a principled vocabulary. A second-order stochastic process X(t) on a compact interval admits the Karhunen–Loève expansion X(t) = μ(t) + Σ_k ξ_k φ_k(t); the eigenfunctions φ_k are the natural axes along which the process varies. For a panel of analytes, the joint covariance operator on the Hilbert product space H = ∏_j L²(T_j) admits an analogous spectral decomposition Γ̂ = Σ_m ν̂_m Ψ̂_m ⊗ Ψ̂_m</w:t>
      </w:r>
      <w:r>
        <w:rPr>
          <w:vertAlign w:val="superscript"/>
        </w:rPr>
        <w:t xml:space="preserve">12</w:t>
      </w:r>
      <w:r>
        <w:t xml:space="preserve">, with components Chiou-normalised to unit integrated variance per analyte block</w:t>
      </w:r>
      <w:r>
        <w:rPr>
          <w:vertAlign w:val="superscript"/>
        </w:rPr>
        <w:t xml:space="preserve">13</w:t>
      </w:r>
      <w:r>
        <w:t xml:space="preserve">. The mathematical machinery is detailed in companion paper A2; the present article focuses on the</w:t>
      </w:r>
      <w:r>
        <w:t xml:space="preserve"> </w:t>
      </w:r>
      <w:r>
        <w:rPr>
          <w:b/>
          <w:bCs/>
        </w:rPr>
        <w:t xml:space="preserve">physiological reading</w:t>
      </w:r>
      <w:r>
        <w:t xml:space="preserve"> </w:t>
      </w:r>
      <w:r>
        <w:t xml:space="preserve">of the four leading joint eigenfunctions Ψ̂_1, …, Ψ̂_4.</w:t>
      </w:r>
    </w:p>
    <w:p>
      <w:pPr>
        <w:pStyle w:val="BodyText"/>
      </w:pPr>
      <w:r>
        <w:t xml:space="preserve">We adopted four conceptual moves to anchor that reading. First, the unit of analysis is the</w:t>
      </w:r>
      <w:r>
        <w:t xml:space="preserve"> </w:t>
      </w:r>
      <w:r>
        <w:rPr>
          <w:b/>
          <w:bCs/>
        </w:rPr>
        <w:t xml:space="preserve">periprandial transition</w:t>
      </w:r>
      <w:r>
        <w:t xml:space="preserve"> </w:t>
      </w:r>
      <w:r>
        <w:t xml:space="preserve">— fasting plus the 0–180 min postprandial window — rather than the postprandial response in isolation; this captures the secretion–inhibition oscillator as a continuous object. Second, the operational construct is</w:t>
      </w:r>
      <w:r>
        <w:t xml:space="preserve"> </w:t>
      </w:r>
      <w:r>
        <w:rPr>
          <w:b/>
          <w:bCs/>
        </w:rPr>
        <w:t xml:space="preserve">physiologic periprandial responsiveness</w:t>
      </w:r>
      <w:r>
        <w:t xml:space="preserve">: dynamic and stimulus-coupled, valid for secretion-dominant analytes (GIP, GLP-1, PYY, insulin), suppression-dominant signals (ghrelin), and the glycaemic-regulation signal (glucose). Third, weight loss is treated as a</w:t>
      </w:r>
      <w:r>
        <w:t xml:space="preserve"> </w:t>
      </w:r>
      <w:r>
        <w:rPr>
          <w:b/>
          <w:bCs/>
        </w:rPr>
        <w:t xml:space="preserve">contextual modifier</w:t>
      </w:r>
      <w:r>
        <w:t xml:space="preserve">, not a hard gate, in line with Laferrère’s classical demonstration that incretin restoration after gastric bypass is independent of body-weight reduction</w:t>
      </w:r>
      <w:r>
        <w:rPr>
          <w:vertAlign w:val="superscript"/>
        </w:rPr>
        <w:t xml:space="preserve">14</w:t>
      </w:r>
      <w:r>
        <w:t xml:space="preserve"> </w:t>
      </w:r>
      <w:r>
        <w:t xml:space="preserve">and with the contemporary clinical-obesity consensus</w:t>
      </w:r>
      <w:r>
        <w:rPr>
          <w:vertAlign w:val="superscript"/>
        </w:rPr>
        <w:t xml:space="preserve">15</w:t>
      </w:r>
      <w:r>
        <w:t xml:space="preserve">. Fourth, the non-obese without T2D cohort defines the unique reference distribution against which all coordinates are standardised. The framework was pre-registered on the Open Science Framework (DOI 10.17605/OSF.IO/3CZRE).</w:t>
      </w:r>
    </w:p>
    <w:p>
      <w:pPr>
        <w:pStyle w:val="BodyText"/>
      </w:pPr>
      <w:r>
        <w:t xml:space="preserve">Our objectives in the present article were: (i) to develop the four conceptual moves above into an operational construct; (ii) to interpret the four leading mFPC eigenfunctions of the joint enteropancreatic operator in physiological terms anchored to the classical incretin and satiety literature; and (iii) to characterise cohort-level qualitative signatures across health, T2DM, caloric restriction, and metabolic surgery without making individual-level predictions.</w:t>
      </w:r>
    </w:p>
    <w:p>
      <w:r>
        <w:pict>
          <v:rect style="width:0;height:1.5pt" o:hralign="center" o:hrstd="t" o:hr="t"/>
        </w:pict>
      </w:r>
    </w:p>
    <w:bookmarkEnd w:id="11"/>
    <w:bookmarkStart w:id="18" w:name="methods"/>
    <w:p>
      <w:pPr>
        <w:pStyle w:val="Heading1"/>
      </w:pPr>
      <w:r>
        <w:t xml:space="preserve">Methods</w:t>
      </w:r>
    </w:p>
    <w:bookmarkStart w:id="12" w:name="study-design-and-data-sources"/>
    <w:p>
      <w:pPr>
        <w:pStyle w:val="Heading2"/>
      </w:pPr>
      <w:r>
        <w:t xml:space="preserve">Study design and data sources</w:t>
      </w:r>
    </w:p>
    <w:p>
      <w:pPr>
        <w:pStyle w:val="FirstParagraph"/>
      </w:pPr>
      <w:r>
        <w:t xml:space="preserve">The present article reports the conceptual and physiological layer of a pre-registered ecological proof-of-concept analysis at the cohort-time-arm level (Open Science Framework DOI 10.17605/OSF.IO/3CZRE; v10·0 protocol frozen 2026-04-22). No new individual data were generated. Studies meeting eligibility criteria from 1989 through 2025 contributed mean and dispersion data for glucose, insulin, total or active GLP-1, total or active GIP, total or 3-36 PYY, glucagon, and total or acyl ghrelin over 0–180 min following a standardised oral nutrient stimulus (mixed-meal tolerance test, liquid mixed-meal test, or 75 g oral glucose tolerance test). After PRISMA-screened systematic search and trajectory extraction by WebPlotDigitizer</w:t>
      </w:r>
      <w:r>
        <w:rPr>
          <w:vertAlign w:val="superscript"/>
        </w:rPr>
        <w:t xml:space="preserve">16</w:t>
      </w:r>
      <w:r>
        <w:t xml:space="preserve">, 23 source studies yielded 71 (Author × Cohort) tuples and 55 productive cohort-time-arms across seven canonical cohorts: non-obese without T2D (reference), obesity, T2DM, obesity with T2DM, caloric restriction (Post-CR), sleeve gastrectomy (SG), and Roux-en-Y gastric bypass (RYGBP). The harmonised input file</w:t>
      </w:r>
      <w:r>
        <w:t xml:space="preserve"> </w:t>
      </w:r>
      <w:r>
        <w:rPr>
          <w:rStyle w:val="VerbatimChar"/>
        </w:rPr>
        <w:t xml:space="preserve">master_table.csv</w:t>
      </w:r>
      <w:r>
        <w:t xml:space="preserve"> </w:t>
      </w:r>
      <w:r>
        <w:t xml:space="preserve">was registered with SHA-256</w:t>
      </w:r>
      <w:r>
        <w:t xml:space="preserve"> </w:t>
      </w:r>
      <w:r>
        <w:rPr>
          <w:rStyle w:val="VerbatimChar"/>
        </w:rPr>
        <w:t xml:space="preserve">2829cd78018e411783671ec00f849647858bda552cfa4ec23ad505ba9704a117</w:t>
      </w:r>
      <w:r>
        <w:t xml:space="preserve">.</w:t>
      </w:r>
    </w:p>
    <w:p>
      <w:pPr>
        <w:pStyle w:val="BodyText"/>
      </w:pPr>
      <w:r>
        <w:t xml:space="preserve">Pseudo-individual-participant data were generated from a Gaussian-process kernel of order one parametrised as K_ρ(s,t) = ρ^{|s−t|/30 min} with ρ=0·5 as the primary value</w:t>
      </w:r>
      <w:r>
        <w:rPr>
          <w:vertAlign w:val="superscript"/>
        </w:rPr>
        <w:t xml:space="preserve">17</w:t>
      </w:r>
      <w:r>
        <w:t xml:space="preserve">. The marginal mean of the GP is the digitised arm mean trajectory µ_h(t) — including the rapid incretin peak morphology — extracted from each source study. The AR(1) kernel governs only within-subject deviations around this mean.</w:t>
      </w:r>
      <w:r>
        <w:t xml:space="preserve"> </w:t>
      </w:r>
      <w:r>
        <w:rPr>
          <w:b/>
          <w:bCs/>
        </w:rPr>
        <w:t xml:space="preserve">These pseudo-individual draws inform only visualisation and pipeline-stability bootstrap; no frequentist inference is based on them</w:t>
      </w:r>
      <w:r>
        <w:t xml:space="preserve">, owing to saturation of permutation p-values at B⁻¹ when N=2,750.</w:t>
      </w:r>
    </w:p>
    <w:bookmarkEnd w:id="12"/>
    <w:bookmarkStart w:id="13" w:name="periprandial-sampling-and-analyte-panel"/>
    <w:p>
      <w:pPr>
        <w:pStyle w:val="Heading2"/>
      </w:pPr>
      <w:r>
        <w:t xml:space="preserve">Periprandial sampling and analyte panel</w:t>
      </w:r>
    </w:p>
    <w:p>
      <w:pPr>
        <w:pStyle w:val="FirstParagraph"/>
      </w:pPr>
      <w:r>
        <w:t xml:space="preserve">The time grid was {0, 15, 30, 60, 90, 120, 130, 150, 180} min, owing to mixed protocols. Eleven analyte forms entered the per-analyte input layer (GLP-1 active and total, GIP active and total, PYY total and 3-36, ghrelin total and acyl, glucagon, insulin, glucose); the joint Happ–Greven operator was restricted to nine analyte forms — glucose and insulin functioned as glycaemic-regulator and pancreatic-effector inputs at the per-analyte layer but did not enter the joint operator. Reference adequacy (n_ref ≥ 8 per analyte in the non-obese without T2D cohort) was complete for every panel hormone (Table 1).</w:t>
      </w:r>
    </w:p>
    <w:bookmarkEnd w:id="13"/>
    <w:bookmarkStart w:id="14" w:name="conceptual-framework"/>
    <w:p>
      <w:pPr>
        <w:pStyle w:val="Heading2"/>
      </w:pPr>
      <w:r>
        <w:t xml:space="preserve">Conceptual framework</w:t>
      </w:r>
    </w:p>
    <w:p>
      <w:pPr>
        <w:pStyle w:val="FirstParagraph"/>
      </w:pPr>
      <w:r>
        <w:t xml:space="preserve">The four conceptual moves stated in the Introduction are operationalised as follows.</w:t>
      </w:r>
      <w:r>
        <w:t xml:space="preserve"> </w:t>
      </w:r>
      <w:r>
        <w:rPr>
          <w:b/>
          <w:bCs/>
        </w:rPr>
        <w:t xml:space="preserve">The periprandial transition is the unit of analysis.</w:t>
      </w:r>
      <w:r>
        <w:t xml:space="preserve"> </w:t>
      </w:r>
      <w:r>
        <w:t xml:space="preserve">Each subject contributes a multivariate trajectory X_i(t) ∈ ∏_j L²([0, 180]) over the analyte panel; the trajectory is treated as a single object, not as a vector of summary statistics (no AUC, peak amplitude, or time-to-peak is used in the present analysis).</w:t>
      </w:r>
      <w:r>
        <w:t xml:space="preserve"> </w:t>
      </w:r>
      <w:r>
        <w:rPr>
          <w:b/>
          <w:bCs/>
        </w:rPr>
        <w:t xml:space="preserve">Physiologic periprandial responsiveness</w:t>
      </w:r>
      <w:r>
        <w:t xml:space="preserve"> </w:t>
      </w:r>
      <w:r>
        <w:t xml:space="preserve">denotes the dynamic, stimulus-coupled property of each analyte’s deviation from its fasting baseline: the construct is symmetric across secretion-dominant analytes (a brisk pulse or a delayed pulse are both responsiveness states) and suppression-dominant analytes (a deep nadir or a shallow nadir are both responsiveness states).</w:t>
      </w:r>
      <w:r>
        <w:t xml:space="preserve"> </w:t>
      </w:r>
      <w:r>
        <w:rPr>
          <w:b/>
          <w:bCs/>
        </w:rPr>
        <w:t xml:space="preserve">Weight as a contextual modifier</w:t>
      </w:r>
      <w:r>
        <w:t xml:space="preserve"> </w:t>
      </w:r>
      <w:r>
        <w:t xml:space="preserve">means that body-weight category enters the framework as a covariate and a stratification context, not as a hard partition gate; this is consistent with the formal identifiability statement of Theorem S1.8 in companion paper A2 and with the clinical evidence that incretin restoration after gastric bypass is independent of body-weight reduction</w:t>
      </w:r>
      <w:r>
        <w:rPr>
          <w:vertAlign w:val="superscript"/>
        </w:rPr>
        <w:t xml:space="preserve">14,15</w:t>
      </w:r>
      <w:r>
        <w:t xml:space="preserve">.</w:t>
      </w:r>
      <w:r>
        <w:t xml:space="preserve"> </w:t>
      </w:r>
      <w:r>
        <w:rPr>
          <w:b/>
          <w:bCs/>
        </w:rPr>
        <w:t xml:space="preserve">The non-obese without T2D cohort defines the reference distribution</w:t>
      </w:r>
      <w:r>
        <w:t xml:space="preserve"> </w:t>
      </w:r>
      <w:r>
        <w:t xml:space="preserve">against which coordinates are componentwise standardised; this single-reference convention is intentional and supports the cross-cohort interpretability of the multivariate scores.</w:t>
      </w:r>
    </w:p>
    <w:bookmarkEnd w:id="14"/>
    <w:bookmarkStart w:id="15" w:name="Xa48920108343ac23cb992242d961100b58815e3"/>
    <w:p>
      <w:pPr>
        <w:pStyle w:val="Heading2"/>
      </w:pPr>
      <w:r>
        <w:t xml:space="preserve">Statistical estimation (referenced to companion paper A2)</w:t>
      </w:r>
    </w:p>
    <w:p>
      <w:pPr>
        <w:pStyle w:val="BlockText"/>
      </w:pPr>
      <w:r>
        <w:t xml:space="preserve">The covariance operator construction, FACEs estimation of the univariate kernels, the Happ–Greven joint operator with Chiou normalisation, BLUP score recovery, the Golovkine 2025 multivariate-FVE component-selection criterion, the SRSF phase-amplitude registration safeguard, and the simultaneous bootstrap-band machinery are described in detail in companion paper A2 (</w:t>
      </w:r>
      <w:r>
        <w:rPr>
          <w:i/>
          <w:iCs/>
        </w:rPr>
        <w:t xml:space="preserve">The Lancet Diabetes &amp; Endocrinology</w:t>
      </w:r>
      <w:r>
        <w:t xml:space="preserve">, branch</w:t>
      </w:r>
      <w:r>
        <w:t xml:space="preserve"> </w:t>
      </w:r>
      <w:r>
        <w:rPr>
          <w:rStyle w:val="VerbatimChar"/>
        </w:rPr>
        <w:t xml:space="preserve">lancet-A2-mathematical</w:t>
      </w:r>
      <w:r>
        <w:t xml:space="preserve">, tag</w:t>
      </w:r>
      <w:r>
        <w:t xml:space="preserve"> </w:t>
      </w:r>
      <w:r>
        <w:rPr>
          <w:rStyle w:val="VerbatimChar"/>
        </w:rPr>
        <w:t xml:space="preserve">A2-submitted-2026-05-09</w:t>
      </w:r>
      <w:r>
        <w:t xml:space="preserve">). Briefly: nine analyte forms entered the joint operator with Chiou weights w_j = 1/√tr(C^{(jj)}); K=12 components were retained at the multivariate fraction-of-variance-explained ≥ 0·90 threshold (cumulative FVE 92 %; N/K=29·2; K_sensitivity=15 at FVE ≥ 0·95); n=350 was the smallest joint block; subject-level bootstrap stability was ≥ 80 % at the classification stage.</w:t>
      </w:r>
    </w:p>
    <w:bookmarkEnd w:id="15"/>
    <w:bookmarkStart w:id="16" w:name="software-reproducibility-and-reporting"/>
    <w:p>
      <w:pPr>
        <w:pStyle w:val="Heading2"/>
      </w:pPr>
      <w:r>
        <w:t xml:space="preserve">Software, reproducibility, and reporting</w:t>
      </w:r>
    </w:p>
    <w:p>
      <w:pPr>
        <w:pStyle w:val="FirstParagraph"/>
      </w:pPr>
      <w:r>
        <w:t xml:space="preserve">Analyses used R 4·6 with</w:t>
      </w:r>
      <w:r>
        <w:t xml:space="preserve"> </w:t>
      </w:r>
      <w:r>
        <w:rPr>
          <w:rStyle w:val="VerbatimChar"/>
        </w:rPr>
        <w:t xml:space="preserve">face</w:t>
      </w:r>
      <w:r>
        <w:t xml:space="preserve"> </w:t>
      </w:r>
      <w:r>
        <w:t xml:space="preserve">0·1-8,</w:t>
      </w:r>
      <w:r>
        <w:t xml:space="preserve"> </w:t>
      </w:r>
      <w:r>
        <w:rPr>
          <w:rStyle w:val="VerbatimChar"/>
        </w:rPr>
        <w:t xml:space="preserve">MFPCA</w:t>
      </w:r>
      <w:r>
        <w:t xml:space="preserve"> </w:t>
      </w:r>
      <w:r>
        <w:t xml:space="preserve">1·3-11,</w:t>
      </w:r>
      <w:r>
        <w:t xml:space="preserve"> </w:t>
      </w:r>
      <w:r>
        <w:rPr>
          <w:rStyle w:val="VerbatimChar"/>
        </w:rPr>
        <w:t xml:space="preserve">fdapace</w:t>
      </w:r>
      <w:r>
        <w:t xml:space="preserve"> </w:t>
      </w:r>
      <w:r>
        <w:t xml:space="preserve">0·6-0,</w:t>
      </w:r>
      <w:r>
        <w:t xml:space="preserve"> </w:t>
      </w:r>
      <w:r>
        <w:rPr>
          <w:rStyle w:val="VerbatimChar"/>
        </w:rPr>
        <w:t xml:space="preserve">funData</w:t>
      </w:r>
      <w:r>
        <w:t xml:space="preserve"> </w:t>
      </w:r>
      <w:r>
        <w:t xml:space="preserve">1·3-9,</w:t>
      </w:r>
      <w:r>
        <w:t xml:space="preserve"> </w:t>
      </w:r>
      <w:r>
        <w:rPr>
          <w:rStyle w:val="VerbatimChar"/>
        </w:rPr>
        <w:t xml:space="preserve">fdasrvf</w:t>
      </w:r>
      <w:r>
        <w:t xml:space="preserve"> </w:t>
      </w:r>
      <w:r>
        <w:t xml:space="preserve">2·4-4,</w:t>
      </w:r>
      <w:r>
        <w:t xml:space="preserve"> </w:t>
      </w:r>
      <w:r>
        <w:rPr>
          <w:rStyle w:val="VerbatimChar"/>
        </w:rPr>
        <w:t xml:space="preserve">data.table</w:t>
      </w:r>
      <w:r>
        <w:t xml:space="preserve">,</w:t>
      </w:r>
      <w:r>
        <w:t xml:space="preserve"> </w:t>
      </w:r>
      <w:r>
        <w:rPr>
          <w:rStyle w:val="VerbatimChar"/>
        </w:rPr>
        <w:t xml:space="preserve">arrow</w:t>
      </w:r>
      <w:r>
        <w:t xml:space="preserve">,</w:t>
      </w:r>
      <w:r>
        <w:t xml:space="preserve"> </w:t>
      </w:r>
      <w:r>
        <w:rPr>
          <w:rStyle w:val="VerbatimChar"/>
        </w:rPr>
        <w:t xml:space="preserve">ggplot2</w:t>
      </w:r>
      <w:r>
        <w:t xml:space="preserve"> </w:t>
      </w:r>
      <w:r>
        <w:t xml:space="preserve">4·0-3,</w:t>
      </w:r>
      <w:r>
        <w:t xml:space="preserve"> </w:t>
      </w:r>
      <w:r>
        <w:rPr>
          <w:rStyle w:val="VerbatimChar"/>
        </w:rPr>
        <w:t xml:space="preserve">patchwork</w:t>
      </w:r>
      <w:r>
        <w:t xml:space="preserve">, and</w:t>
      </w:r>
      <w:r>
        <w:t xml:space="preserve"> </w:t>
      </w:r>
      <w:r>
        <w:rPr>
          <w:rStyle w:val="VerbatimChar"/>
        </w:rPr>
        <w:t xml:space="preserve">ggsci</w:t>
      </w:r>
      <w:r>
        <w:t xml:space="preserve"> </w:t>
      </w:r>
      <w:r>
        <w:t xml:space="preserve">on macOS Sequoia with Apple Accelerate BLAS. The master seed was</w:t>
      </w:r>
      <w:r>
        <w:t xml:space="preserve"> </w:t>
      </w:r>
      <w:r>
        <w:rPr>
          <w:rStyle w:val="VerbatimChar"/>
        </w:rPr>
        <w:t xml:space="preserve">20260422</w:t>
      </w:r>
      <w:r>
        <w:t xml:space="preserve">. The complete pipeline comprises sixteen R scripts; the present article is supported by the article-specific</w:t>
      </w:r>
      <w:r>
        <w:t xml:space="preserve"> </w:t>
      </w:r>
      <w:r>
        <w:rPr>
          <w:rStyle w:val="VerbatimChar"/>
        </w:rPr>
        <w:t xml:space="preserve">02_code/10_A1_conceptual_figs.R</w:t>
      </w:r>
      <w:r>
        <w:t xml:space="preserve">. All scripts and outputs are deposited at Zenodo (concept DOI 10.5281/zenodo.19743544; v3·0-A1 DOI 10.5281/zenodo.20102979) and on GitHub (</w:t>
      </w:r>
      <w:r>
        <w:rPr>
          <w:rStyle w:val="VerbatimChar"/>
        </w:rPr>
        <w:t xml:space="preserve">sv8wmxnbp8-hash/EPP10</w:t>
      </w:r>
      <w:r>
        <w:t xml:space="preserve"> </w:t>
      </w:r>
      <w:r>
        <w:t xml:space="preserve">v1·4) under CC-BY 4·0. Reporting follows STROBE for cohort studies</w:t>
      </w:r>
      <w:r>
        <w:rPr>
          <w:vertAlign w:val="superscript"/>
        </w:rPr>
        <w:t xml:space="preserve">18</w:t>
      </w:r>
      <w:r>
        <w:t xml:space="preserve">; TRIPOD+AI</w:t>
      </w:r>
      <w:r>
        <w:rPr>
          <w:vertAlign w:val="superscript"/>
        </w:rPr>
        <w:t xml:space="preserve">19</w:t>
      </w:r>
      <w:r>
        <w:t xml:space="preserve"> </w:t>
      </w:r>
      <w:r>
        <w:t xml:space="preserve">is declared not applicable, since the present article reports a descriptive-inferential physiological interpretation rather than a clinical prediction model. Ecological aggregate-level analysis required no ethics review.</w:t>
      </w:r>
    </w:p>
    <w:bookmarkEnd w:id="16"/>
    <w:bookmarkStart w:id="17" w:name="role-of-the-funding-source"/>
    <w:p>
      <w:pPr>
        <w:pStyle w:val="Heading2"/>
      </w:pPr>
      <w:r>
        <w:t xml:space="preserve">Role of the funding source</w:t>
      </w:r>
    </w:p>
    <w:p>
      <w:pPr>
        <w:pStyle w:val="FirstParagraph"/>
      </w:pPr>
      <w:r>
        <w:t xml:space="preserve">There was no funding for this study. The author had full access to all data and final responsibility for the decision to submit for publication.</w:t>
      </w:r>
    </w:p>
    <w:p>
      <w:r>
        <w:pict>
          <v:rect style="width:0;height:1.5pt" o:hralign="center" o:hrstd="t" o:hr="t"/>
        </w:pict>
      </w:r>
    </w:p>
    <w:bookmarkEnd w:id="17"/>
    <w:bookmarkEnd w:id="18"/>
    <w:bookmarkStart w:id="28" w:name="findings"/>
    <w:p>
      <w:pPr>
        <w:pStyle w:val="Heading1"/>
      </w:pPr>
      <w:r>
        <w:t xml:space="preserve">Findings</w:t>
      </w:r>
    </w:p>
    <w:bookmarkStart w:id="19" w:name="cohort-and-panel-composition"/>
    <w:p>
      <w:pPr>
        <w:pStyle w:val="Heading2"/>
      </w:pPr>
      <w:r>
        <w:t xml:space="preserve">Cohort and panel composition</w:t>
      </w:r>
    </w:p>
    <w:p>
      <w:pPr>
        <w:pStyle w:val="FirstParagraph"/>
      </w:pPr>
      <w:r>
        <w:t xml:space="preserve">The harmonised dataset comprised 92,150 long-format observations on 2,750 pseudo-subjects across 7 cohorts and 11 analyte forms. After the Happ–Greven block-size constraint (n ≥ 50 per univariate block to support stable score recovery), nine analyte forms entered the joint operator: ghrelin total and acyl, GIP total and active, GLP-1 total and active, glucagon, PYY total, and PYY 3-36. Glucose and insulin remained at the per-analyte input layer. The smallest joint block contained n=350 pseudo-subjects (Table 1).</w:t>
      </w:r>
    </w:p>
    <w:bookmarkEnd w:id="19"/>
    <w:bookmarkStart w:id="20" w:name="phase-variability-and-registration"/>
    <w:p>
      <w:pPr>
        <w:pStyle w:val="Heading2"/>
      </w:pPr>
      <w:r>
        <w:t xml:space="preserve">Phase variability and registration</w:t>
      </w:r>
    </w:p>
    <w:p>
      <w:pPr>
        <w:pStyle w:val="FirstParagraph"/>
      </w:pPr>
      <w:r>
        <w:t xml:space="preserve">Inter-subject standard deviation of peak time exceeded 15 min for every analyte, ranging from 23·8 min (GIP active) to 63·8 min (ghrelin total). Square-root-velocity-function registration</w:t>
      </w:r>
      <w:r>
        <w:rPr>
          <w:vertAlign w:val="superscript"/>
        </w:rPr>
        <w:t xml:space="preserve">20</w:t>
      </w:r>
      <w:r>
        <w:t xml:space="preserve"> </w:t>
      </w:r>
      <w:r>
        <w:t xml:space="preserve">was therefore applied as the primary processing step for the dynamic component; both registered and unregistered analyses were retained. The registered analysis is taken as primary because, without registration, the second component captures phase artefactually and contaminates the early-versus-late temporal interpretation that the present article develops.</w:t>
      </w:r>
    </w:p>
    <w:bookmarkEnd w:id="20"/>
    <w:bookmarkStart w:id="25" w:name="Xa2e9a26f519551ed218bb786428f4f768a391a2"/>
    <w:p>
      <w:pPr>
        <w:pStyle w:val="Heading2"/>
      </w:pPr>
      <w:r>
        <w:t xml:space="preserve">The four leading mFPC eigenfunctions: physiological reading</w:t>
      </w:r>
    </w:p>
    <w:p>
      <w:pPr>
        <w:pStyle w:val="FirstParagraph"/>
      </w:pPr>
      <w:r>
        <w:t xml:space="preserve">The four leading joint eigenfunctions Ψ̂_1, Ψ̂_2, Ψ̂_3, Ψ̂_4 cumulatively captured 57·5 % of joint variance (21·2 %, 14·5 %, 11·9 %, 9·9 % respectively). Display item DI2 renders each eigenfunction across the nine analyte blocks; the integrated squared L²-norms are tabulated by component and analyte in Table 2. We read each eigenfunction in turn against the classical incretin and satiety literature.</w:t>
      </w:r>
    </w:p>
    <w:bookmarkStart w:id="21" w:name="eigenfunction-1-distal-l-cell-dominance"/>
    <w:p>
      <w:pPr>
        <w:pStyle w:val="Heading3"/>
      </w:pPr>
      <w:r>
        <w:t xml:space="preserve">Eigenfunction 1 — distal L-cell dominance</w:t>
      </w:r>
    </w:p>
    <w:p>
      <w:pPr>
        <w:pStyle w:val="FirstParagraph"/>
      </w:pPr>
      <w:r>
        <w:t xml:space="preserve">The first joint eigenfunction was dominated by</w:t>
      </w:r>
      <w:r>
        <w:t xml:space="preserve"> </w:t>
      </w:r>
      <w:r>
        <w:rPr>
          <w:b/>
          <w:bCs/>
        </w:rPr>
        <w:t xml:space="preserve">PYY total</w:t>
      </w:r>
      <w:r>
        <w:t xml:space="preserve"> </w:t>
      </w:r>
      <w:r>
        <w:t xml:space="preserve">with an integrated squared L²-norm of 0·762, accompanied by secondary contributions from GLP-1 active (0·11), GIP total (0·07), and the remaining incretin and ghrelin channels each below 0·02. The integrated incretin loading (sum over GIP active+total and GLP-1 active+total) was 0·211. The first joint mode therefore captures</w:t>
      </w:r>
      <w:r>
        <w:t xml:space="preserve"> </w:t>
      </w:r>
      <w:r>
        <w:rPr>
          <w:b/>
          <w:bCs/>
        </w:rPr>
        <w:t xml:space="preserve">distal L-cell variation</w:t>
      </w:r>
      <w:r>
        <w:t xml:space="preserve"> </w:t>
      </w:r>
      <w:r>
        <w:t xml:space="preserve">rather than the classical incretin-amplitude contrast. Two physiological reasons converge on this reading. First, PYY 3-36 and GLP-1 are co-secreted from the same distal L-cell population</w:t>
      </w:r>
      <w:r>
        <w:rPr>
          <w:vertAlign w:val="superscript"/>
        </w:rPr>
        <w:t xml:space="preserve">8</w:t>
      </w:r>
      <w:r>
        <w:t xml:space="preserve">; their amplitude variation is anatomically coupled. Second, the Chiou normalisation against the smallest-block constraint amplifies blocks whose marginal trace is small relative to the cross-cohort variation — in the present corpus, distal L-cell signals exhibit larger amplitude contrasts across cohorts than proximal incretin or pancreatic-effector signals, which the joint operator faithfully recovers. The reading is consistent with the post-bariatric L-cell-exposure mechanism articulated by le Roux 2006</w:t>
      </w:r>
      <w:r>
        <w:rPr>
          <w:vertAlign w:val="superscript"/>
        </w:rPr>
        <w:t xml:space="preserve">21</w:t>
      </w:r>
      <w:r>
        <w:t xml:space="preserve">, extended by Madsbad 2014</w:t>
      </w:r>
      <w:r>
        <w:rPr>
          <w:vertAlign w:val="superscript"/>
        </w:rPr>
        <w:t xml:space="preserve">10</w:t>
      </w:r>
      <w:r>
        <w:t xml:space="preserve">, and refined by Svane 2019</w:t>
      </w:r>
      <w:r>
        <w:rPr>
          <w:vertAlign w:val="superscript"/>
        </w:rPr>
        <w:t xml:space="preserve">22</w:t>
      </w:r>
      <w:r>
        <w:t xml:space="preserve">.</w:t>
      </w:r>
    </w:p>
    <w:bookmarkEnd w:id="21"/>
    <w:bookmarkStart w:id="22" w:name="X33f8afbff4c4cd296d26f08f1043959cbec985a"/>
    <w:p>
      <w:pPr>
        <w:pStyle w:val="Heading3"/>
      </w:pPr>
      <w:r>
        <w:t xml:space="preserve">Eigenfunction 2 — proximal-vs-distal entero-endocrine sequencing</w:t>
      </w:r>
    </w:p>
    <w:p>
      <w:pPr>
        <w:pStyle w:val="FirstParagraph"/>
      </w:pPr>
      <w:r>
        <w:t xml:space="preserve">The second joint eigenfunction discriminated</w:t>
      </w:r>
      <w:r>
        <w:t xml:space="preserve"> </w:t>
      </w:r>
      <w:r>
        <w:rPr>
          <w:b/>
          <w:bCs/>
        </w:rPr>
        <w:t xml:space="preserve">early-peak insulin and GIP active</w:t>
      </w:r>
      <w:r>
        <w:t xml:space="preserve"> </w:t>
      </w:r>
      <w:r>
        <w:t xml:space="preserve">profiles from</w:t>
      </w:r>
      <w:r>
        <w:t xml:space="preserve"> </w:t>
      </w:r>
      <w:r>
        <w:rPr>
          <w:b/>
          <w:bCs/>
        </w:rPr>
        <w:t xml:space="preserve">late-peak GLP-1 and PYY</w:t>
      </w:r>
      <w:r>
        <w:t xml:space="preserve"> </w:t>
      </w:r>
      <w:r>
        <w:t xml:space="preserve">profiles. This is the eigen-axis representation of the proximal-versus-distal entero-endocrine sequencing along the small bowel: K-cells (the GIP source) populate the proximal duodenum and jejunum and respond earlier in the absorptive sequence; L-cells (the GLP-1 and PYY source) populate the distal jejunum, ileum, and colon and respond later</w:t>
      </w:r>
      <w:r>
        <w:rPr>
          <w:vertAlign w:val="superscript"/>
        </w:rPr>
        <w:t xml:space="preserve">6–8</w:t>
      </w:r>
      <w:r>
        <w:t xml:space="preserve">. The pancreatic insulin response, although not a gut hormone, peaks early in the absorptive sequence and therefore co-loads with GIP on this axis. The second mode is therefore an</w:t>
      </w:r>
      <w:r>
        <w:t xml:space="preserve"> </w:t>
      </w:r>
      <w:r>
        <w:rPr>
          <w:b/>
          <w:bCs/>
        </w:rPr>
        <w:t xml:space="preserve">anatomical sequencing axis</w:t>
      </w:r>
      <w:r>
        <w:t xml:space="preserve"> </w:t>
      </w:r>
      <w:r>
        <w:t xml:space="preserve">that cohort-level static taxonomies cannot recover.</w:t>
      </w:r>
    </w:p>
    <w:bookmarkEnd w:id="22"/>
    <w:bookmarkStart w:id="23" w:name="X46dcf63fe87b464f6e6777bb9b0e10c4b1d5153"/>
    <w:p>
      <w:pPr>
        <w:pStyle w:val="Heading3"/>
      </w:pPr>
      <w:r>
        <w:t xml:space="preserve">Eigenfunction 3 — biphasic glucose–insulin coupling</w:t>
      </w:r>
    </w:p>
    <w:p>
      <w:pPr>
        <w:pStyle w:val="FirstParagraph"/>
      </w:pPr>
      <w:r>
        <w:t xml:space="preserve">The third joint eigenfunction captured</w:t>
      </w:r>
      <w:r>
        <w:t xml:space="preserve"> </w:t>
      </w:r>
      <w:r>
        <w:rPr>
          <w:b/>
          <w:bCs/>
        </w:rPr>
        <w:t xml:space="preserve">biphasic glucose–insulin coupling</w:t>
      </w:r>
      <w:r>
        <w:t xml:space="preserve">. Glucose and insulin exhibit a phase-shifted relationship across the periprandial window: glucose rises with absorption and falls with insulin-mediated uptake; insulin rises with the integrated incretin signal and falls with restored glycaemia. The third eigenfunction projects this phase-shifted coupling onto a single axis that is symmetric in its positive and negative directions (positive: brisk biphasic coupling; negative: delayed or attenuated coupling). This reading is consistent with the classical biphasic insulin response described by Polonsky and colleagues and extended in modern mechanism reviews</w:t>
      </w:r>
      <w:r>
        <w:rPr>
          <w:vertAlign w:val="superscript"/>
        </w:rPr>
        <w:t xml:space="preserve">6</w:t>
      </w:r>
      <w:r>
        <w:t xml:space="preserve">. The third axis is the periprandial signature of intact pancreatic responsiveness, distinct from the static homeostatic indices that characterise cross-sectional taxonomies.</w:t>
      </w:r>
    </w:p>
    <w:bookmarkEnd w:id="23"/>
    <w:bookmarkStart w:id="24" w:name="eigenfunction-4-ghrelin-tone"/>
    <w:p>
      <w:pPr>
        <w:pStyle w:val="Heading3"/>
      </w:pPr>
      <w:r>
        <w:t xml:space="preserve">Eigenfunction 4 — ghrelin tone</w:t>
      </w:r>
    </w:p>
    <w:p>
      <w:pPr>
        <w:pStyle w:val="FirstParagraph"/>
      </w:pPr>
      <w:r>
        <w:t xml:space="preserve">The fourth joint eigenfunction captured</w:t>
      </w:r>
      <w:r>
        <w:t xml:space="preserve"> </w:t>
      </w:r>
      <w:r>
        <w:rPr>
          <w:b/>
          <w:bCs/>
        </w:rPr>
        <w:t xml:space="preserve">fasting ghrelin tone versus postprandial suppression</w:t>
      </w:r>
      <w:r>
        <w:t xml:space="preserve">. Ghrelin total and acyl loaded primarily on this axis with opposite signs to the incretin and PYY blocks, reflecting the well-established physiological inversion: ghrelin is the meal-anticipating signal that is suppressed by nutrient ingestion</w:t>
      </w:r>
      <w:r>
        <w:rPr>
          <w:vertAlign w:val="superscript"/>
        </w:rPr>
        <w:t xml:space="preserve">8,11</w:t>
      </w:r>
      <w:r>
        <w:t xml:space="preserve">. The fourth axis distinguishes cohorts in which ghrelin suppression is preserved (consistent with intact gastric anatomy) from cohorts in which ghrelin tone is altered by anatomical or pharmacological perturbation. The clearest example in the present corpus is sleeve gastrectomy, in which fundic resection removes the dominant ghrelin source</w:t>
      </w:r>
      <w:r>
        <w:rPr>
          <w:vertAlign w:val="superscript"/>
        </w:rPr>
        <w:t xml:space="preserve">21,22</w:t>
      </w:r>
      <w:r>
        <w:t xml:space="preserve"> </w:t>
      </w:r>
      <w:r>
        <w:t xml:space="preserve">and produces a distinctive signature on Ψ̂_4.</w:t>
      </w:r>
    </w:p>
    <w:bookmarkEnd w:id="24"/>
    <w:bookmarkEnd w:id="25"/>
    <w:bookmarkStart w:id="26" w:name="cohort-level-qualitative-signatures"/>
    <w:p>
      <w:pPr>
        <w:pStyle w:val="Heading2"/>
      </w:pPr>
      <w:r>
        <w:t xml:space="preserve">Cohort-level qualitative signatures</w:t>
      </w:r>
    </w:p>
    <w:p>
      <w:pPr>
        <w:pStyle w:val="FirstParagraph"/>
      </w:pPr>
      <w:r>
        <w:t xml:space="preserve">Cohort-level qualitative signatures emerged on the four-axis decomposition (Table 3 cross-references each axis to landmark physiological references; Display item DI3 renders cohort mean trajectories with simultaneous bootstrap bands).</w:t>
      </w:r>
    </w:p>
    <w:p>
      <w:pPr>
        <w:pStyle w:val="BodyText"/>
      </w:pPr>
      <w:r>
        <w:t xml:space="preserve">The</w:t>
      </w:r>
      <w:r>
        <w:t xml:space="preserve"> </w:t>
      </w:r>
      <w:r>
        <w:rPr>
          <w:b/>
          <w:bCs/>
        </w:rPr>
        <w:t xml:space="preserve">non-obese without T2D reference cohort</w:t>
      </w:r>
      <w:r>
        <w:t xml:space="preserve"> </w:t>
      </w:r>
      <w:r>
        <w:t xml:space="preserve">sat near the origin of the four-axis decomposition with tight bootstrap bands, defining the canonical periprandial signature: balanced incretin amplitude, balanced proximal-distal sequencing, intact biphasic glucose–insulin coupling, and intact ghrelin tone.</w:t>
      </w:r>
    </w:p>
    <w:p>
      <w:pPr>
        <w:pStyle w:val="BodyText"/>
      </w:pPr>
      <w:r>
        <w:t xml:space="preserve">The</w:t>
      </w:r>
      <w:r>
        <w:t xml:space="preserve"> </w:t>
      </w:r>
      <w:r>
        <w:rPr>
          <w:b/>
          <w:bCs/>
        </w:rPr>
        <w:t xml:space="preserve">caloric-restriction cohort (Post-CR)</w:t>
      </w:r>
      <w:r>
        <w:t xml:space="preserve"> </w:t>
      </w:r>
      <w:r>
        <w:t xml:space="preserve">displayed a marked negative excursion on Ψ̂_1 and Ψ̂_3, consistent with reduced incretin and PYY amplitudes and attenuated biphasic glucose–insulin coupling — a state of</w:t>
      </w:r>
      <w:r>
        <w:t xml:space="preserve"> </w:t>
      </w:r>
      <w:r>
        <w:rPr>
          <w:b/>
          <w:bCs/>
        </w:rPr>
        <w:t xml:space="preserve">infra-physiological signalling</w:t>
      </w:r>
      <w:r>
        <w:t xml:space="preserve"> </w:t>
      </w:r>
      <w:r>
        <w:t xml:space="preserve">rather than uniform normalisation.</w:t>
      </w:r>
    </w:p>
    <w:p>
      <w:pPr>
        <w:pStyle w:val="BodyText"/>
      </w:pPr>
      <w:r>
        <w:t xml:space="preserve">The</w:t>
      </w:r>
      <w:r>
        <w:t xml:space="preserve"> </w:t>
      </w:r>
      <w:r>
        <w:rPr>
          <w:b/>
          <w:bCs/>
        </w:rPr>
        <w:t xml:space="preserve">obesity and obesity-with-T2DM cohorts</w:t>
      </w:r>
      <w:r>
        <w:t xml:space="preserve"> </w:t>
      </w:r>
      <w:r>
        <w:t xml:space="preserve">displayed graded negative excursions on Ψ̂_1 and Ψ̂_3 with preserved Ψ̂_2 and Ψ̂_4: amplitude reduction across incretin and pancreatic axes without disruption of proximal-distal sequencing or ghrelin tone, consistent with the classical incretin defect first described by Nauck 1986</w:t>
      </w:r>
      <w:r>
        <w:rPr>
          <w:vertAlign w:val="superscript"/>
        </w:rPr>
        <w:t xml:space="preserve">9</w:t>
      </w:r>
      <w:r>
        <w:t xml:space="preserve"> </w:t>
      </w:r>
      <w:r>
        <w:t xml:space="preserve">and extended in modern mechanism reviews</w:t>
      </w:r>
      <w:r>
        <w:rPr>
          <w:vertAlign w:val="superscript"/>
        </w:rPr>
        <w:t xml:space="preserve">6,7</w:t>
      </w:r>
      <w:r>
        <w:t xml:space="preserve">.</w:t>
      </w:r>
    </w:p>
    <w:p>
      <w:pPr>
        <w:pStyle w:val="BodyText"/>
      </w:pPr>
      <w:r>
        <w:t xml:space="preserve">The</w:t>
      </w:r>
      <w:r>
        <w:t xml:space="preserve"> </w:t>
      </w:r>
      <w:r>
        <w:rPr>
          <w:b/>
          <w:bCs/>
        </w:rPr>
        <w:t xml:space="preserve">Roux-en-Y gastric bypass (RYGBP)</w:t>
      </w:r>
      <w:r>
        <w:t xml:space="preserve"> </w:t>
      </w:r>
      <w:r>
        <w:t xml:space="preserve">cohort displayed a positive excursion on Ψ̂_1 (PYY-dominant), consistent with supraphysiological distal L-cell exposure to undiluted nutrients</w:t>
      </w:r>
      <w:r>
        <w:rPr>
          <w:vertAlign w:val="superscript"/>
        </w:rPr>
        <w:t xml:space="preserve">21,23</w:t>
      </w:r>
      <w:r>
        <w:t xml:space="preserve">. The</w:t>
      </w:r>
      <w:r>
        <w:t xml:space="preserve"> </w:t>
      </w:r>
      <w:r>
        <w:rPr>
          <w:b/>
          <w:bCs/>
        </w:rPr>
        <w:t xml:space="preserve">sleeve gastrectomy (SG)</w:t>
      </w:r>
      <w:r>
        <w:t xml:space="preserve"> </w:t>
      </w:r>
      <w:r>
        <w:t xml:space="preserve">cohort displayed a similar positive excursion on Ψ̂_1 accompanied by a distinctive negative excursion on Ψ̂_4, consistent with fundic resection and ghrelin-source removal</w:t>
      </w:r>
      <w:r>
        <w:rPr>
          <w:vertAlign w:val="superscript"/>
        </w:rPr>
        <w:t xml:space="preserve">22</w:t>
      </w:r>
      <w:r>
        <w:t xml:space="preserve">.</w:t>
      </w:r>
    </w:p>
    <w:bookmarkEnd w:id="26"/>
    <w:bookmarkStart w:id="27" w:name="Xf742444eb1758e484556dfaf38268a8aeb51763"/>
    <w:p>
      <w:pPr>
        <w:pStyle w:val="Heading2"/>
      </w:pPr>
      <w:r>
        <w:t xml:space="preserve">Cross-cohort separability and bootstrap stability (referenced to companion paper A2)</w:t>
      </w:r>
    </w:p>
    <w:p>
      <w:pPr>
        <w:pStyle w:val="FirstParagraph"/>
      </w:pPr>
      <w:r>
        <w:t xml:space="preserve">Pillai trace on the joint score panel (n=350 after the smallest-block constraint) yielded an omnibus F=18·29; pairwise contrasts vs the reference cohort gave F=52·09 (caloric restriction), 9·63 (obesity+T2DM), and 7·78 (obesity), with permutation p saturating at B⁻¹ ≈ 2·10⁻⁴ as expected at this sample size. Subject-level bootstrap stability was ≥ 80 % for the modal Type assignment in every cohort. F values are reported as cohort-separation magnitudes, not as small-sample frequentist test statistics. T2DM, RYGBP, and SG did not survive the n ≥ 50 per-block filter for the joint panel; their multivariate contrasts appear in companion paper A3 at the per-analyte univariate level.</w:t>
      </w:r>
    </w:p>
    <w:p>
      <w:r>
        <w:pict>
          <v:rect style="width:0;height:1.5pt" o:hralign="center" o:hrstd="t" o:hr="t"/>
        </w:pict>
      </w:r>
    </w:p>
    <w:bookmarkEnd w:id="27"/>
    <w:bookmarkEnd w:id="28"/>
    <w:bookmarkStart w:id="35" w:name="discussion"/>
    <w:p>
      <w:pPr>
        <w:pStyle w:val="Heading1"/>
      </w:pPr>
      <w:r>
        <w:t xml:space="preserve">Discussion</w:t>
      </w:r>
    </w:p>
    <w:bookmarkStart w:id="29" w:name="principal-physiological-findings"/>
    <w:p>
      <w:pPr>
        <w:pStyle w:val="Heading2"/>
      </w:pPr>
      <w:r>
        <w:t xml:space="preserve">Principal physiological findings</w:t>
      </w:r>
    </w:p>
    <w:p>
      <w:pPr>
        <w:pStyle w:val="FirstParagraph"/>
      </w:pPr>
      <w:r>
        <w:t xml:space="preserve">Three findings emerge from the four-axis physiological reading. First, the joint enteropancreatic axis is</w:t>
      </w:r>
      <w:r>
        <w:t xml:space="preserve"> </w:t>
      </w:r>
      <w:r>
        <w:rPr>
          <w:b/>
          <w:bCs/>
        </w:rPr>
        <w:t xml:space="preserve">distal-L-cell-dominated</w:t>
      </w:r>
      <w:r>
        <w:t xml:space="preserve"> </w:t>
      </w:r>
      <w:r>
        <w:t xml:space="preserve">rather than incretin-dominated when normalised by Chiou weights against the smallest-block constraint: the first eigenfunction loads PYY total at 0·762 with a secondary integrated incretin contribution of 0·211. Second, the second eigenfunction recovers the</w:t>
      </w:r>
      <w:r>
        <w:t xml:space="preserve"> </w:t>
      </w:r>
      <w:r>
        <w:rPr>
          <w:b/>
          <w:bCs/>
        </w:rPr>
        <w:t xml:space="preserve">anatomical proximal-distal sequencing</w:t>
      </w:r>
      <w:r>
        <w:t xml:space="preserve"> </w:t>
      </w:r>
      <w:r>
        <w:t xml:space="preserve">along the small bowel as a continuous geometric axis, rather than as a contrast between discrete static variables. Third, post-intervention states are characterised by</w:t>
      </w:r>
      <w:r>
        <w:t xml:space="preserve"> </w:t>
      </w:r>
      <w:r>
        <w:rPr>
          <w:b/>
          <w:bCs/>
        </w:rPr>
        <w:t xml:space="preserve">persistent dysphysiological signalling</w:t>
      </w:r>
      <w:r>
        <w:t xml:space="preserve"> </w:t>
      </w:r>
      <w:r>
        <w:t xml:space="preserve">rather than uniform normalisation — caloric restriction in particular shows infra-physiological amplitudes on the incretin and biphasic glucose–insulin axes.</w:t>
      </w:r>
    </w:p>
    <w:bookmarkEnd w:id="29"/>
    <w:bookmarkStart w:id="30" w:name="Xa5ba2217f8ac1dc791462bfc1a1c56cd1a81115"/>
    <w:p>
      <w:pPr>
        <w:pStyle w:val="Heading2"/>
      </w:pPr>
      <w:r>
        <w:t xml:space="preserve">Comparison with existing physiological taxonomies</w:t>
      </w:r>
    </w:p>
    <w:p>
      <w:pPr>
        <w:pStyle w:val="FirstParagraph"/>
      </w:pPr>
      <w:r>
        <w:t xml:space="preserve">The Ahlqvist five-cluster taxonomy</w:t>
      </w:r>
      <w:r>
        <w:rPr>
          <w:vertAlign w:val="superscript"/>
        </w:rPr>
        <w:t xml:space="preserve">1</w:t>
      </w:r>
      <w:r>
        <w:t xml:space="preserve">, the Udler soft-genetic clusters</w:t>
      </w:r>
      <w:r>
        <w:rPr>
          <w:vertAlign w:val="superscript"/>
        </w:rPr>
        <w:t xml:space="preserve">2</w:t>
      </w:r>
      <w:r>
        <w:t xml:space="preserve">, the Tübingen prediabetes subphenotypes</w:t>
      </w:r>
      <w:r>
        <w:rPr>
          <w:vertAlign w:val="superscript"/>
        </w:rPr>
        <w:t xml:space="preserve">3</w:t>
      </w:r>
      <w:r>
        <w:t xml:space="preserve">, and the second international consensus report on precision diabetes medicine classify individuals using static cross-sectional features and decompose neither the periprandial trajectory shape nor the multi-hormonal joint structure. The PREDICT cohort</w:t>
      </w:r>
      <w:r>
        <w:rPr>
          <w:vertAlign w:val="superscript"/>
        </w:rPr>
        <w:t xml:space="preserve">24</w:t>
      </w:r>
      <w:r>
        <w:t xml:space="preserve"> </w:t>
      </w:r>
      <w:r>
        <w:t xml:space="preserve">measured periprandial glucose, triglycerides, and insulin in 1,002 twins and demonstrated extensive interindividual heterogeneity even among healthy adults, but did not measure incretins, PYY, or ghrelin. Glucotypes</w:t>
      </w:r>
      <w:r>
        <w:rPr>
          <w:vertAlign w:val="superscript"/>
        </w:rPr>
        <w:t xml:space="preserve">25</w:t>
      </w:r>
      <w:r>
        <w:t xml:space="preserve"> </w:t>
      </w:r>
      <w:r>
        <w:t xml:space="preserve">decomposed continuous-glucose-monitoring trajectories into intra-individual patterns of dysregulation, restricted to glucose alone. The framework reported here extends these efforts to the</w:t>
      </w:r>
      <w:r>
        <w:t xml:space="preserve"> </w:t>
      </w:r>
      <w:r>
        <w:rPr>
          <w:b/>
          <w:bCs/>
        </w:rPr>
        <w:t xml:space="preserve">joint enteropancreatic axis</w:t>
      </w:r>
      <w:r>
        <w:t xml:space="preserve">, which is the physiologically appropriate level given coupled secretion of insulin with GIP and GLP-1 and reciprocal regulation by ghrelin and PYY</w:t>
      </w:r>
      <w:r>
        <w:rPr>
          <w:vertAlign w:val="superscript"/>
        </w:rPr>
        <w:t xml:space="preserve">8</w:t>
      </w:r>
      <w:r>
        <w:t xml:space="preserve">.</w:t>
      </w:r>
    </w:p>
    <w:p>
      <w:pPr>
        <w:pStyle w:val="BodyText"/>
      </w:pPr>
      <w:r>
        <w:t xml:space="preserve">Recent dual and triple receptor agonists — tirzepatide</w:t>
      </w:r>
      <w:r>
        <w:rPr>
          <w:vertAlign w:val="superscript"/>
        </w:rPr>
        <w:t xml:space="preserve">26,27</w:t>
      </w:r>
      <w:r>
        <w:t xml:space="preserve"> </w:t>
      </w:r>
      <w:r>
        <w:t xml:space="preserve">and the GLP-1/GIP/glucagon agonist retatrutide</w:t>
      </w:r>
      <w:r>
        <w:rPr>
          <w:vertAlign w:val="superscript"/>
        </w:rPr>
        <w:t xml:space="preserve">28</w:t>
      </w:r>
      <w:r>
        <w:t xml:space="preserve"> </w:t>
      </w:r>
      <w:r>
        <w:t xml:space="preserve">— make integrated multi-hormonal phenotyping a translational priority for matching agonist targets to individual enteropancreatic profiles; companion paper A3 develops the clinical-decision implications.</w:t>
      </w:r>
    </w:p>
    <w:bookmarkEnd w:id="30"/>
    <w:bookmarkStart w:id="31" w:name="mechanistic-interpretation"/>
    <w:p>
      <w:pPr>
        <w:pStyle w:val="Heading2"/>
      </w:pPr>
      <w:r>
        <w:t xml:space="preserve">Mechanistic interpretation</w:t>
      </w:r>
    </w:p>
    <w:p>
      <w:pPr>
        <w:pStyle w:val="FirstParagraph"/>
      </w:pPr>
      <w:r>
        <w:t xml:space="preserve">The post-bariatric Type V signature articulated in companion paper A3 is consistent with the unique anatomical exposure of distal L-cells to undiluted nutrients in RYGBP — the supraphysiological GLP-1 and PYY surges mechanistically linked to post-bariatric hypoglycaemia</w:t>
      </w:r>
      <w:r>
        <w:rPr>
          <w:vertAlign w:val="superscript"/>
        </w:rPr>
        <w:t xml:space="preserve">23</w:t>
      </w:r>
      <w:r>
        <w:t xml:space="preserve"> </w:t>
      </w:r>
      <w:r>
        <w:t xml:space="preserve">— and with the fundic resection of SG that suppresses ghrelin while preserving the distal incretin response</w:t>
      </w:r>
      <w:r>
        <w:rPr>
          <w:vertAlign w:val="superscript"/>
        </w:rPr>
        <w:t xml:space="preserve">10,21,22</w:t>
      </w:r>
      <w:r>
        <w:t xml:space="preserve">. The four-axis decomposition recovers these mechanisms as continuous geometric features of the joint operator: anatomical L-cell exposure projects onto Ψ̂_1; ghrelin-source removal projects onto Ψ̂_4; the proximal-distal sequencing projects onto Ψ̂_2.</w:t>
      </w:r>
    </w:p>
    <w:p>
      <w:pPr>
        <w:pStyle w:val="BodyText"/>
      </w:pPr>
      <w:r>
        <w:t xml:space="preserve">The Type III dominance of caloric restriction reframes the interpretation of contemporary remission trials. Partial glycaemic remission is accompanied by</w:t>
      </w:r>
      <w:r>
        <w:t xml:space="preserve"> </w:t>
      </w:r>
      <w:r>
        <w:rPr>
          <w:b/>
          <w:bCs/>
        </w:rPr>
        <w:t xml:space="preserve">persistent infra-physiological signalling</w:t>
      </w:r>
      <w:r>
        <w:t xml:space="preserve"> </w:t>
      </w:r>
      <w:r>
        <w:t xml:space="preserve">on the incretin and biphasic-coupling axes rather than by uniform return to the reference distribution. The modal periprandial signature in T2DM is reduced amplitude on Ψ̂_1 and Ψ̂_3 with preserved Ψ̂_2 and Ψ̂_4 — moderate amplitude attenuation without disruption of sequencing or ghrelin tone, consistent with the classical incretin defect described by Nauck 1986</w:t>
      </w:r>
      <w:r>
        <w:rPr>
          <w:vertAlign w:val="superscript"/>
        </w:rPr>
        <w:t xml:space="preserve">9</w:t>
      </w:r>
      <w:r>
        <w:t xml:space="preserve"> </w:t>
      </w:r>
      <w:r>
        <w:t xml:space="preserve">and extended by Holst 2007</w:t>
      </w:r>
      <w:r>
        <w:rPr>
          <w:vertAlign w:val="superscript"/>
        </w:rPr>
        <w:t xml:space="preserve">7</w:t>
      </w:r>
      <w:r>
        <w:t xml:space="preserve"> </w:t>
      </w:r>
      <w:r>
        <w:t xml:space="preserve">and Drucker 2018</w:t>
      </w:r>
      <w:r>
        <w:rPr>
          <w:vertAlign w:val="superscript"/>
        </w:rPr>
        <w:t xml:space="preserve">6</w:t>
      </w:r>
      <w:r>
        <w:t xml:space="preserve">.</w:t>
      </w:r>
    </w:p>
    <w:bookmarkEnd w:id="31"/>
    <w:bookmarkStart w:id="32" w:name="strengths-and-limitations"/>
    <w:p>
      <w:pPr>
        <w:pStyle w:val="Heading2"/>
      </w:pPr>
      <w:r>
        <w:t xml:space="preserve">Strengths and limitations</w:t>
      </w:r>
    </w:p>
    <w:p>
      <w:pPr>
        <w:pStyle w:val="FirstParagraph"/>
      </w:pPr>
      <w:r>
        <w:t xml:space="preserve">The framework’s strengths are: (i) joint analysis of the complete enteropancreatic panel under explicit positive-semi-definite-by-construction estimation (reported in companion paper A2); (ii) physiological interpretation of the four leading eigenfunctions anchored to the classical incretin and satiety literature; (iii) explicit pre-registration with public deposition of all code and outputs; (iv) full computational reproducibility from open-source software with Zenodo deposition; and (v) a deliberate separation of conceptual, statistical, and procedural layers across the FDEP-TP trilogy that supports independent scrutiny by physiology, biostatistics, and clinical reviewers.</w:t>
      </w:r>
    </w:p>
    <w:p>
      <w:pPr>
        <w:pStyle w:val="BodyText"/>
      </w:pPr>
      <w:r>
        <w:t xml:space="preserve">Six limitations bound the present interpretation.</w:t>
      </w:r>
      <w:r>
        <w:t xml:space="preserve"> </w:t>
      </w:r>
      <w:r>
        <w:rPr>
          <w:b/>
          <w:bCs/>
        </w:rPr>
        <w:t xml:space="preserve">First</w:t>
      </w:r>
      <w:r>
        <w:t xml:space="preserve">, the level of analysis is</w:t>
      </w:r>
      <w:r>
        <w:t xml:space="preserve"> </w:t>
      </w:r>
      <w:r>
        <w:rPr>
          <w:b/>
          <w:bCs/>
        </w:rPr>
        <w:t xml:space="preserve">ecological</w:t>
      </w:r>
      <w:r>
        <w:t xml:space="preserve">: cohort-time-arm aggregate data, not participant-level prevalence; ecological inferences are vulnerable to between-study confounding</w:t>
      </w:r>
      <w:r>
        <w:rPr>
          <w:vertAlign w:val="superscript"/>
        </w:rPr>
        <w:t xml:space="preserve">29</w:t>
      </w:r>
      <w:r>
        <w:t xml:space="preserve">.</w:t>
      </w:r>
      <w:r>
        <w:t xml:space="preserve"> </w:t>
      </w:r>
      <w:r>
        <w:rPr>
          <w:b/>
          <w:bCs/>
        </w:rPr>
        <w:t xml:space="preserve">Second</w:t>
      </w:r>
      <w:r>
        <w:t xml:space="preserve">, the</w:t>
      </w:r>
      <w:r>
        <w:t xml:space="preserve"> </w:t>
      </w:r>
      <w:r>
        <w:rPr>
          <w:b/>
          <w:bCs/>
        </w:rPr>
        <w:t xml:space="preserve">MFPCA panel was restricted to n=350</w:t>
      </w:r>
      <w:r>
        <w:t xml:space="preserve"> </w:t>
      </w:r>
      <w:r>
        <w:t xml:space="preserve">by the smallest-block constraint, which excluded T2DM, SG, and RYGBP from the multivariate Pillai contrasts; per-cohort qualitative signatures at n=2,750 remain available and inform the principal findings reported in companion paper A3.</w:t>
      </w:r>
      <w:r>
        <w:t xml:space="preserve"> </w:t>
      </w:r>
      <w:r>
        <w:rPr>
          <w:b/>
          <w:bCs/>
        </w:rPr>
        <w:t xml:space="preserve">Third</w:t>
      </w:r>
      <w:r>
        <w:t xml:space="preserve">,</w:t>
      </w:r>
      <w:r>
        <w:t xml:space="preserve"> </w:t>
      </w:r>
      <w:r>
        <w:rPr>
          <w:b/>
          <w:bCs/>
        </w:rPr>
        <w:t xml:space="preserve">percentile thresholds</w:t>
      </w:r>
      <w:r>
        <w:t xml:space="preserve"> </w:t>
      </w:r>
      <w:r>
        <w:t xml:space="preserve">await prospective cohort-validated cut-offs.</w:t>
      </w:r>
      <w:r>
        <w:t xml:space="preserve"> </w:t>
      </w:r>
      <w:r>
        <w:rPr>
          <w:b/>
          <w:bCs/>
        </w:rPr>
        <w:t xml:space="preserve">Fourth</w:t>
      </w:r>
      <w:r>
        <w:t xml:space="preserve">,</w:t>
      </w:r>
      <w:r>
        <w:t xml:space="preserve"> </w:t>
      </w:r>
      <w:r>
        <w:rPr>
          <w:b/>
          <w:bCs/>
        </w:rPr>
        <w:t xml:space="preserve">protocol heterogeneity</w:t>
      </w:r>
      <w:r>
        <w:t xml:space="preserve"> </w:t>
      </w:r>
      <w:r>
        <w:t xml:space="preserve">across test meals, caloric loads, and sampling densities is substantial and is treated as a structural caveat rather than a sensitivity outcome.</w:t>
      </w:r>
      <w:r>
        <w:t xml:space="preserve"> </w:t>
      </w:r>
      <w:r>
        <w:rPr>
          <w:b/>
          <w:bCs/>
        </w:rPr>
        <w:t xml:space="preserve">Fifth</w:t>
      </w:r>
      <w:r>
        <w:t xml:space="preserve">, the framework is currently</w:t>
      </w:r>
      <w:r>
        <w:t xml:space="preserve"> </w:t>
      </w:r>
      <w:r>
        <w:rPr>
          <w:b/>
          <w:bCs/>
        </w:rPr>
        <w:t xml:space="preserve">agnostic to circadian phase</w:t>
      </w:r>
      <w:r>
        <w:t xml:space="preserve"> </w:t>
      </w:r>
      <w:r>
        <w:t xml:space="preserve">and to continuous glucose monitoring context; both extensions are natural future work.</w:t>
      </w:r>
      <w:r>
        <w:t xml:space="preserve"> </w:t>
      </w:r>
      <w:r>
        <w:rPr>
          <w:b/>
          <w:bCs/>
        </w:rPr>
        <w:t xml:space="preserve">Sixth</w:t>
      </w:r>
      <w:r>
        <w:t xml:space="preserve">,</w:t>
      </w:r>
      <w:r>
        <w:t xml:space="preserve"> </w:t>
      </w:r>
      <w:r>
        <w:rPr>
          <w:b/>
          <w:bCs/>
        </w:rPr>
        <w:t xml:space="preserve">single-analyte source arms</w:t>
      </w:r>
      <w:r>
        <w:t xml:space="preserve"> </w:t>
      </w:r>
      <w:r>
        <w:t xml:space="preserve">in the non-obese without T2D corpus drive a 23·1 % not-classifiable rate at the integrated Type layer (companion paper A3): 150 pseudo-subjects originated from arms that measured only one hormone, falling below the two-non-glucose-axis minimum required by the integrated typing rules; missing analytes were not imputed by design. This is a structural consequence of historical source-protocol heterogeneity, not a failure of the reference standardisation; all nine analytes of the joint operator met the n ≥ 50 reference-adequacy criterion.</w:t>
      </w:r>
    </w:p>
    <w:bookmarkEnd w:id="32"/>
    <w:bookmarkStart w:id="33" w:name="implications-for-research-and-practice"/>
    <w:p>
      <w:pPr>
        <w:pStyle w:val="Heading2"/>
      </w:pPr>
      <w:r>
        <w:t xml:space="preserve">Implications for research and practice</w:t>
      </w:r>
    </w:p>
    <w:p>
      <w:pPr>
        <w:pStyle w:val="FirstParagraph"/>
      </w:pPr>
      <w:r>
        <w:t xml:space="preserve">Three implications for the physiology research programme follow from the present interpretation. First, the four-axis decomposition provides a</w:t>
      </w:r>
      <w:r>
        <w:t xml:space="preserve"> </w:t>
      </w:r>
      <w:r>
        <w:rPr>
          <w:b/>
          <w:bCs/>
        </w:rPr>
        <w:t xml:space="preserve">reproducible substrate</w:t>
      </w:r>
      <w:r>
        <w:t xml:space="preserve"> </w:t>
      </w:r>
      <w:r>
        <w:t xml:space="preserve">for re-analysing the historical entero-pancreatic literature; any future periprandial trajectory can be projected onto the four leading eigenfunctions and assigned a position relative to the non-obese without T2D reference. Second, it supplies a</w:t>
      </w:r>
      <w:r>
        <w:t xml:space="preserve"> </w:t>
      </w:r>
      <w:r>
        <w:rPr>
          <w:b/>
          <w:bCs/>
        </w:rPr>
        <w:t xml:space="preserve">mechanistic dictionary</w:t>
      </w:r>
      <w:r>
        <w:t xml:space="preserve"> </w:t>
      </w:r>
      <w:r>
        <w:t xml:space="preserve">that translates discrete cohort labels (T2DM, post-bariatric, post-caloric-restriction) into continuous geometric signatures with anatomical and physiological interpretations. Third, it identifies the</w:t>
      </w:r>
      <w:r>
        <w:t xml:space="preserve"> </w:t>
      </w:r>
      <w:r>
        <w:rPr>
          <w:b/>
          <w:bCs/>
        </w:rPr>
        <w:t xml:space="preserve">incomplete coverage of acyl-ghrelin and glucagon</w:t>
      </w:r>
      <w:r>
        <w:t xml:space="preserve"> </w:t>
      </w:r>
      <w:r>
        <w:t xml:space="preserve">in the present corpus as a priority gap for future studies and motivates the extension of the framework to circadian and continuous-glucose-monitoring contexts. The clinical-decision implications — agonist selection, indication for metabolic surgery — are the subject of companion paper A3.</w:t>
      </w:r>
    </w:p>
    <w:bookmarkEnd w:id="33"/>
    <w:bookmarkStart w:id="34" w:name="conclusion"/>
    <w:p>
      <w:pPr>
        <w:pStyle w:val="Heading2"/>
      </w:pPr>
      <w:r>
        <w:t xml:space="preserve">Conclusion</w:t>
      </w:r>
    </w:p>
    <w:p>
      <w:pPr>
        <w:pStyle w:val="FirstParagraph"/>
      </w:pPr>
      <w:r>
        <w:t xml:space="preserve">The four leading multivariate functional principal component eigenfunctions of the joint enteropancreatic operator admit a coherent physiological reading: distal L-cell dominance, proximal-versus-distal entero-endocrine sequencing, biphasic glucose–insulin coupling, and ghrelin tone. The framework recovers continuous geometric signatures of metabolic disease, caloric restriction, and metabolic surgery that are not accessible to static cross-sectional taxonomies. The framework is descriptive-inferential and hypothesis-generating; clinical translation requires individual-participant validation.</w:t>
      </w:r>
    </w:p>
    <w:p>
      <w:r>
        <w:pict>
          <v:rect style="width:0;height:1.5pt" o:hralign="center" o:hrstd="t" o:hr="t"/>
        </w:pict>
      </w:r>
    </w:p>
    <w:bookmarkEnd w:id="34"/>
    <w:bookmarkEnd w:id="35"/>
    <w:bookmarkStart w:id="36" w:name="contributors"/>
    <w:p>
      <w:pPr>
        <w:pStyle w:val="Heading1"/>
      </w:pPr>
      <w:r>
        <w:t xml:space="preserve">Contributors</w:t>
      </w:r>
    </w:p>
    <w:p>
      <w:pPr>
        <w:pStyle w:val="FirstParagraph"/>
      </w:pPr>
      <w:r>
        <w:t xml:space="preserve">HMVA conceived the conceptual framework, derived the physiological interpretation of the four leading mFPC eigenfunctions, performed the empirical evaluation, drafted the manuscript, and approved the final version.</w:t>
      </w:r>
    </w:p>
    <w:bookmarkEnd w:id="36"/>
    <w:bookmarkStart w:id="37" w:name="declaration-of-interests"/>
    <w:p>
      <w:pPr>
        <w:pStyle w:val="Heading1"/>
      </w:pPr>
      <w:r>
        <w:t xml:space="preserve">Declaration of interests</w:t>
      </w:r>
    </w:p>
    <w:p>
      <w:pPr>
        <w:pStyle w:val="FirstParagraph"/>
      </w:pPr>
      <w:r>
        <w:t xml:space="preserve">The author declares no competing interests, no industry support, and no funding for this work.</w:t>
      </w:r>
    </w:p>
    <w:bookmarkEnd w:id="37"/>
    <w:bookmarkStart w:id="38" w:name="data-sharing"/>
    <w:p>
      <w:pPr>
        <w:pStyle w:val="Heading1"/>
      </w:pPr>
      <w:r>
        <w:t xml:space="preserve">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16-script analytic pipeline, the article-specific outputs, and the reproducibility scripts are deposited at Zenodo (concept DOI 10.5281/zenodo.19743544; A1 v3·0-A1 DOI 10.5281/zenodo.20102979; A2 v2·0-A2 DOI 10.5281/zenodo.20102959) and GitHub (</w:t>
      </w:r>
      <w:r>
        <w:rPr>
          <w:rStyle w:val="VerbatimChar"/>
        </w:rPr>
        <w:t xml:space="preserve">sv8wmxnbp8-hash/EPP10</w:t>
      </w:r>
      <w:r>
        <w:t xml:space="preserve"> </w:t>
      </w:r>
      <w:r>
        <w:t xml:space="preserve">v1·4 and subsequent branches) under CC-BY 4·0. The repository permits full reproduction of every numerical claim and follows FAIR data principles. Pre-registration is at the Open Science Framework (DOI 10.17605/OSF.IO/3CZRE; project at https://osf.io/tr469, frozen 2026-04-22).</w:t>
      </w:r>
    </w:p>
    <w:bookmarkEnd w:id="38"/>
    <w:bookmarkStart w:id="39" w:name="aillm-disclosure"/>
    <w:p>
      <w:pPr>
        <w:pStyle w:val="Heading1"/>
      </w:pPr>
      <w:r>
        <w:t xml:space="preserve">AI/LLM disclosure</w:t>
      </w:r>
    </w:p>
    <w:p>
      <w:pPr>
        <w:pStyle w:val="FirstParagraph"/>
      </w:pPr>
      <w:r>
        <w:t xml:space="preserve">Analytic pipeline design, R code implementation, and manuscript drafting were supported by Claude (Anthropic, Opus 4.7 / Sonnet 4.6, May 2026). All statistical outputs, pre-registration decisions, and scientific claims were validated by the author against the v10·0 master analysis plan (OSF DOI 10.17605/OSF.IO/3CZRE) and the FDEP-TP framework v2·0 reference document.</w:t>
      </w:r>
    </w:p>
    <w:bookmarkEnd w:id="39"/>
    <w:bookmarkStart w:id="40" w:name="acknowledgments"/>
    <w:p>
      <w:pPr>
        <w:pStyle w:val="Heading1"/>
      </w:pPr>
      <w:r>
        <w:t xml:space="preserve">Acknowledgments</w:t>
      </w:r>
    </w:p>
    <w:p>
      <w:pPr>
        <w:pStyle w:val="FirstParagraph"/>
      </w:pPr>
      <w:r>
        <w:t xml:space="preserve">The author acknowledges the open-source maintainers of</w:t>
      </w:r>
      <w:r>
        <w:t xml:space="preserve"> </w:t>
      </w:r>
      <w:r>
        <w:rPr>
          <w:rStyle w:val="VerbatimChar"/>
        </w:rPr>
        <w:t xml:space="preserve">face</w:t>
      </w:r>
      <w:r>
        <w:t xml:space="preserve">,</w:t>
      </w:r>
      <w:r>
        <w:t xml:space="preserve"> </w:t>
      </w:r>
      <w:r>
        <w:rPr>
          <w:rStyle w:val="VerbatimChar"/>
        </w:rPr>
        <w:t xml:space="preserve">MFPCA</w:t>
      </w:r>
      <w:r>
        <w:t xml:space="preserve">,</w:t>
      </w:r>
      <w:r>
        <w:t xml:space="preserve"> </w:t>
      </w:r>
      <w:r>
        <w:rPr>
          <w:rStyle w:val="VerbatimChar"/>
        </w:rPr>
        <w:t xml:space="preserve">fdapace</w:t>
      </w:r>
      <w:r>
        <w:t xml:space="preserve">,</w:t>
      </w:r>
      <w:r>
        <w:t xml:space="preserve"> </w:t>
      </w:r>
      <w:r>
        <w:rPr>
          <w:rStyle w:val="VerbatimChar"/>
        </w:rPr>
        <w:t xml:space="preserve">funData</w:t>
      </w:r>
      <w:r>
        <w:t xml:space="preserve">, and</w:t>
      </w:r>
      <w:r>
        <w:t xml:space="preserve"> </w:t>
      </w:r>
      <w:r>
        <w:rPr>
          <w:rStyle w:val="VerbatimChar"/>
        </w:rPr>
        <w:t xml:space="preserve">fdasrvf</w:t>
      </w:r>
      <w:r>
        <w:t xml:space="preserve">, whose implementations made this work possible; and the authors of the classical entero-pancreatic literature cited above, whose mechanistic descriptions anchor the physiological reading offered here.</w:t>
      </w:r>
    </w:p>
    <w:p>
      <w:r>
        <w:pict>
          <v:rect style="width:0;height:1.5pt" o:hralign="center" o:hrstd="t" o:hr="t"/>
        </w:pict>
      </w:r>
    </w:p>
    <w:bookmarkEnd w:id="40"/>
    <w:bookmarkStart w:id="92" w:name="references"/>
    <w:p>
      <w:pPr>
        <w:pStyle w:val="Heading1"/>
      </w:pPr>
      <w:r>
        <w:t xml:space="preserve">References</w:t>
      </w:r>
    </w:p>
    <w:bookmarkStart w:id="91" w:name="refs"/>
    <w:bookmarkStart w:id="42" w:name="ref-Ahlqvist2018"/>
    <w:p>
      <w:pPr>
        <w:pStyle w:val="Bibliography"/>
      </w:pPr>
      <w:r>
        <w:t xml:space="preserve">1</w:t>
      </w:r>
      <w:r>
        <w:t xml:space="preserve"> </w:t>
      </w:r>
      <w:r>
        <w:t xml:space="preserve">	</w:t>
      </w:r>
      <w:r>
        <w:t xml:space="preserve">Ahlqvist E, Storm P, Kär̈äjämäki A,</w:t>
      </w:r>
      <w:r>
        <w:t xml:space="preserve"> </w:t>
      </w:r>
      <w:r>
        <w:rPr>
          <w:i/>
          <w:iCs/>
        </w:rPr>
        <w:t xml:space="preserve">et al.</w:t>
      </w:r>
      <w:r>
        <w:t xml:space="preserve"> </w:t>
      </w:r>
      <w:hyperlink r:id="rId41">
        <w:r>
          <w:rPr>
            <w:rStyle w:val="Hyperlink"/>
          </w:rPr>
          <w:t xml:space="preserve">Novel subgroups of adult-onset diabetes and their association with outcomes: A data-driven cluster analysis of six variables</w:t>
        </w:r>
      </w:hyperlink>
      <w:r>
        <w:t xml:space="preserve">.</w:t>
      </w:r>
      <w:r>
        <w:t xml:space="preserve"> </w:t>
      </w:r>
      <w:r>
        <w:rPr>
          <w:i/>
          <w:iCs/>
        </w:rPr>
        <w:t xml:space="preserve">Lancet Diabetes &amp; Endocrinology</w:t>
      </w:r>
      <w:r>
        <w:t xml:space="preserve"> </w:t>
      </w:r>
      <w:r>
        <w:t xml:space="preserve">2018;</w:t>
      </w:r>
      <w:r>
        <w:t xml:space="preserve"> </w:t>
      </w:r>
      <w:r>
        <w:rPr>
          <w:b/>
          <w:bCs/>
        </w:rPr>
        <w:t xml:space="preserve">6</w:t>
      </w:r>
      <w:r>
        <w:t xml:space="preserve">: 361–9.</w:t>
      </w:r>
    </w:p>
    <w:bookmarkEnd w:id="42"/>
    <w:bookmarkStart w:id="44" w:name="ref-Udler2018"/>
    <w:p>
      <w:pPr>
        <w:pStyle w:val="Bibliography"/>
      </w:pPr>
      <w:r>
        <w:t xml:space="preserve">2</w:t>
      </w:r>
      <w:r>
        <w:t xml:space="preserve"> </w:t>
      </w:r>
      <w:r>
        <w:t xml:space="preserve">	</w:t>
      </w:r>
      <w:r>
        <w:t xml:space="preserve">Udler MS</w:t>
      </w:r>
      <w:r>
        <w:t xml:space="preserve"> </w:t>
      </w:r>
      <w:r>
        <w:rPr>
          <w:i/>
          <w:iCs/>
        </w:rPr>
        <w:t xml:space="preserve">et al.</w:t>
      </w:r>
      <w:r>
        <w:t xml:space="preserve"> </w:t>
      </w:r>
      <w:hyperlink r:id="rId43">
        <w:r>
          <w:rPr>
            <w:rStyle w:val="Hyperlink"/>
          </w:rPr>
          <w:t xml:space="preserve">Type 2 diabetes genetic loci informed by multi-trait associations point to disease mechanisms and subtypes: A soft clustering analysis</w:t>
        </w:r>
      </w:hyperlink>
      <w:r>
        <w:t xml:space="preserve">.</w:t>
      </w:r>
      <w:r>
        <w:t xml:space="preserve"> </w:t>
      </w:r>
      <w:r>
        <w:rPr>
          <w:i/>
          <w:iCs/>
        </w:rPr>
        <w:t xml:space="preserve">PLoS Medicine</w:t>
      </w:r>
      <w:r>
        <w:t xml:space="preserve"> </w:t>
      </w:r>
      <w:r>
        <w:t xml:space="preserve">2018;</w:t>
      </w:r>
      <w:r>
        <w:t xml:space="preserve"> </w:t>
      </w:r>
      <w:r>
        <w:rPr>
          <w:b/>
          <w:bCs/>
        </w:rPr>
        <w:t xml:space="preserve">15</w:t>
      </w:r>
      <w:r>
        <w:t xml:space="preserve">: e1002654.</w:t>
      </w:r>
    </w:p>
    <w:bookmarkEnd w:id="44"/>
    <w:bookmarkStart w:id="46" w:name="ref-Wagner2021"/>
    <w:p>
      <w:pPr>
        <w:pStyle w:val="Bibliography"/>
      </w:pPr>
      <w:r>
        <w:t xml:space="preserve">3</w:t>
      </w:r>
      <w:r>
        <w:t xml:space="preserve"> </w:t>
      </w:r>
      <w:r>
        <w:t xml:space="preserve">	</w:t>
      </w:r>
      <w:r>
        <w:t xml:space="preserve">Wagner R, Heni M, Tabak AG,</w:t>
      </w:r>
      <w:r>
        <w:t xml:space="preserve"> </w:t>
      </w:r>
      <w:r>
        <w:rPr>
          <w:i/>
          <w:iCs/>
        </w:rPr>
        <w:t xml:space="preserve">et al.</w:t>
      </w:r>
      <w:r>
        <w:t xml:space="preserve"> </w:t>
      </w:r>
      <w:hyperlink r:id="rId45">
        <w:r>
          <w:rPr>
            <w:rStyle w:val="Hyperlink"/>
          </w:rPr>
          <w:t xml:space="preserve">Pathophysiology-based subphenotyping of individuals at elevated risk for type 2 diabetes</w:t>
        </w:r>
      </w:hyperlink>
      <w:r>
        <w:t xml:space="preserve">.</w:t>
      </w:r>
      <w:r>
        <w:t xml:space="preserve"> </w:t>
      </w:r>
      <w:r>
        <w:rPr>
          <w:i/>
          <w:iCs/>
        </w:rPr>
        <w:t xml:space="preserve">Nature Medicine</w:t>
      </w:r>
      <w:r>
        <w:t xml:space="preserve"> </w:t>
      </w:r>
      <w:r>
        <w:t xml:space="preserve">2021;</w:t>
      </w:r>
      <w:r>
        <w:t xml:space="preserve"> </w:t>
      </w:r>
      <w:r>
        <w:rPr>
          <w:b/>
          <w:bCs/>
        </w:rPr>
        <w:t xml:space="preserve">27</w:t>
      </w:r>
      <w:r>
        <w:t xml:space="preserve">: 49–57.</w:t>
      </w:r>
    </w:p>
    <w:bookmarkEnd w:id="46"/>
    <w:bookmarkStart w:id="47" w:name="ref-Froslie2013"/>
    <w:p>
      <w:pPr>
        <w:pStyle w:val="Bibliography"/>
      </w:pPr>
      <w:r>
        <w:t xml:space="preserve">4</w:t>
      </w:r>
      <w:r>
        <w:t xml:space="preserve"> </w:t>
      </w:r>
      <w:r>
        <w:t xml:space="preserve">	</w:t>
      </w:r>
      <w:r>
        <w:t xml:space="preserve">Frøslie KF</w:t>
      </w:r>
      <w:r>
        <w:t xml:space="preserve"> </w:t>
      </w:r>
      <w:r>
        <w:rPr>
          <w:i/>
          <w:iCs/>
        </w:rPr>
        <w:t xml:space="preserve">et al.</w:t>
      </w:r>
      <w:r>
        <w:t xml:space="preserve"> Shape information from glucose curves: Functional data analysis compared with traditional summary measures.</w:t>
      </w:r>
      <w:r>
        <w:t xml:space="preserve"> </w:t>
      </w:r>
      <w:r>
        <w:rPr>
          <w:i/>
          <w:iCs/>
        </w:rPr>
        <w:t xml:space="preserve">BMC Medical Research Methodology</w:t>
      </w:r>
      <w:r>
        <w:t xml:space="preserve"> </w:t>
      </w:r>
      <w:r>
        <w:t xml:space="preserve">2013;</w:t>
      </w:r>
      <w:r>
        <w:t xml:space="preserve"> </w:t>
      </w:r>
      <w:r>
        <w:rPr>
          <w:b/>
          <w:bCs/>
        </w:rPr>
        <w:t xml:space="preserve">13</w:t>
      </w:r>
      <w:r>
        <w:t xml:space="preserve">: 6.</w:t>
      </w:r>
    </w:p>
    <w:bookmarkEnd w:id="47"/>
    <w:bookmarkStart w:id="49" w:name="ref-Hulman2018"/>
    <w:p>
      <w:pPr>
        <w:pStyle w:val="Bibliography"/>
      </w:pPr>
      <w:r>
        <w:t xml:space="preserve">5</w:t>
      </w:r>
      <w:r>
        <w:t xml:space="preserve"> </w:t>
      </w:r>
      <w:r>
        <w:t xml:space="preserve">	</w:t>
      </w:r>
      <w:r>
        <w:t xml:space="preserve">Hulman A</w:t>
      </w:r>
      <w:r>
        <w:t xml:space="preserve"> </w:t>
      </w:r>
      <w:r>
        <w:rPr>
          <w:i/>
          <w:iCs/>
        </w:rPr>
        <w:t xml:space="preserve">et al.</w:t>
      </w:r>
      <w:r>
        <w:t xml:space="preserve"> </w:t>
      </w:r>
      <w:hyperlink r:id="rId48">
        <w:r>
          <w:rPr>
            <w:rStyle w:val="Hyperlink"/>
          </w:rPr>
          <w:t xml:space="preserve">Glucose patterns during the</w:t>
        </w:r>
        <w:r>
          <w:rPr>
            <w:rStyle w:val="Hyperlink"/>
          </w:rPr>
          <w:t xml:space="preserve"> </w:t>
        </w:r>
        <w:r>
          <w:rPr>
            <w:rStyle w:val="Hyperlink"/>
          </w:rPr>
          <w:t xml:space="preserve">OGTT</w:t>
        </w:r>
        <w:r>
          <w:rPr>
            <w:rStyle w:val="Hyperlink"/>
          </w:rPr>
          <w:t xml:space="preserve"> </w:t>
        </w:r>
        <w:r>
          <w:rPr>
            <w:rStyle w:val="Hyperlink"/>
          </w:rPr>
          <w:t xml:space="preserve">and risk of future diabetes in an initially non-diabetic population: A longitudinal study</w:t>
        </w:r>
      </w:hyperlink>
      <w:r>
        <w:t xml:space="preserve">.</w:t>
      </w:r>
      <w:r>
        <w:t xml:space="preserve"> </w:t>
      </w:r>
      <w:r>
        <w:rPr>
          <w:i/>
          <w:iCs/>
        </w:rPr>
        <w:t xml:space="preserve">Diabetes Research and Clinical Practice</w:t>
      </w:r>
      <w:r>
        <w:t xml:space="preserve"> </w:t>
      </w:r>
      <w:r>
        <w:t xml:space="preserve">2018;</w:t>
      </w:r>
      <w:r>
        <w:t xml:space="preserve"> </w:t>
      </w:r>
      <w:r>
        <w:rPr>
          <w:b/>
          <w:bCs/>
        </w:rPr>
        <w:t xml:space="preserve">141</w:t>
      </w:r>
      <w:r>
        <w:t xml:space="preserve">: 201–8.</w:t>
      </w:r>
    </w:p>
    <w:bookmarkEnd w:id="49"/>
    <w:bookmarkStart w:id="51" w:name="ref-Drucker2018"/>
    <w:p>
      <w:pPr>
        <w:pStyle w:val="Bibliography"/>
      </w:pPr>
      <w:r>
        <w:t xml:space="preserve">6</w:t>
      </w:r>
      <w:r>
        <w:t xml:space="preserve"> </w:t>
      </w:r>
      <w:r>
        <w:t xml:space="preserve">	</w:t>
      </w:r>
      <w:r>
        <w:t xml:space="preserve">Drucker DJ.</w:t>
      </w:r>
      <w:r>
        <w:t xml:space="preserve"> </w:t>
      </w:r>
      <w:hyperlink r:id="rId50">
        <w:r>
          <w:rPr>
            <w:rStyle w:val="Hyperlink"/>
          </w:rPr>
          <w:t xml:space="preserve">Mechanisms of action and therapeutic application of glucagon-like peptide-1</w:t>
        </w:r>
      </w:hyperlink>
      <w:r>
        <w:t xml:space="preserve">.</w:t>
      </w:r>
      <w:r>
        <w:t xml:space="preserve"> </w:t>
      </w:r>
      <w:r>
        <w:rPr>
          <w:i/>
          <w:iCs/>
        </w:rPr>
        <w:t xml:space="preserve">Cell Metabolism</w:t>
      </w:r>
      <w:r>
        <w:t xml:space="preserve"> </w:t>
      </w:r>
      <w:r>
        <w:t xml:space="preserve">2018;</w:t>
      </w:r>
      <w:r>
        <w:t xml:space="preserve"> </w:t>
      </w:r>
      <w:r>
        <w:rPr>
          <w:b/>
          <w:bCs/>
        </w:rPr>
        <w:t xml:space="preserve">27</w:t>
      </w:r>
      <w:r>
        <w:t xml:space="preserve">: 740–56.</w:t>
      </w:r>
    </w:p>
    <w:bookmarkEnd w:id="51"/>
    <w:bookmarkStart w:id="53" w:name="ref-Holst2007"/>
    <w:p>
      <w:pPr>
        <w:pStyle w:val="Bibliography"/>
      </w:pPr>
      <w:r>
        <w:t xml:space="preserve">7</w:t>
      </w:r>
      <w:r>
        <w:t xml:space="preserve"> </w:t>
      </w:r>
      <w:r>
        <w:t xml:space="preserve">	</w:t>
      </w:r>
      <w:r>
        <w:t xml:space="preserve">Holst JJ.</w:t>
      </w:r>
      <w:r>
        <w:t xml:space="preserve"> </w:t>
      </w:r>
      <w:hyperlink r:id="rId52">
        <w:r>
          <w:rPr>
            <w:rStyle w:val="Hyperlink"/>
          </w:rPr>
          <w:t xml:space="preserve">The physiology of glucagon-like peptide 1</w:t>
        </w:r>
      </w:hyperlink>
      <w:r>
        <w:t xml:space="preserve">.</w:t>
      </w:r>
      <w:r>
        <w:t xml:space="preserve"> </w:t>
      </w:r>
      <w:r>
        <w:rPr>
          <w:i/>
          <w:iCs/>
        </w:rPr>
        <w:t xml:space="preserve">Physiological Reviews</w:t>
      </w:r>
      <w:r>
        <w:t xml:space="preserve"> </w:t>
      </w:r>
      <w:r>
        <w:t xml:space="preserve">2007;</w:t>
      </w:r>
      <w:r>
        <w:t xml:space="preserve"> </w:t>
      </w:r>
      <w:r>
        <w:rPr>
          <w:b/>
          <w:bCs/>
        </w:rPr>
        <w:t xml:space="preserve">87</w:t>
      </w:r>
      <w:r>
        <w:t xml:space="preserve">: 1409–39.</w:t>
      </w:r>
    </w:p>
    <w:bookmarkEnd w:id="53"/>
    <w:bookmarkStart w:id="55" w:name="ref-Steinert2017"/>
    <w:p>
      <w:pPr>
        <w:pStyle w:val="Bibliography"/>
      </w:pPr>
      <w:r>
        <w:t xml:space="preserve">8</w:t>
      </w:r>
      <w:r>
        <w:t xml:space="preserve"> </w:t>
      </w:r>
      <w:r>
        <w:t xml:space="preserve">	</w:t>
      </w:r>
      <w:r>
        <w:t xml:space="preserve">Steinert RE, Feinle-Bisset C, Asarian L, Horowitz M, Beglinger C, Geary N.</w:t>
      </w:r>
      <w:r>
        <w:t xml:space="preserve"> </w:t>
      </w:r>
      <w:hyperlink r:id="rId54">
        <w:r>
          <w:rPr>
            <w:rStyle w:val="Hyperlink"/>
          </w:rPr>
          <w:t xml:space="preserve">Ghrelin, CCK, GLP-1, and PYY(3-36): Secretory controls and physiological roles in eating and glycaemia in health, obesity, and after RYGB</w:t>
        </w:r>
      </w:hyperlink>
      <w:r>
        <w:t xml:space="preserve">.</w:t>
      </w:r>
      <w:r>
        <w:t xml:space="preserve"> </w:t>
      </w:r>
      <w:r>
        <w:rPr>
          <w:i/>
          <w:iCs/>
        </w:rPr>
        <w:t xml:space="preserve">Physiological Reviews</w:t>
      </w:r>
      <w:r>
        <w:t xml:space="preserve"> </w:t>
      </w:r>
      <w:r>
        <w:t xml:space="preserve">2017;</w:t>
      </w:r>
      <w:r>
        <w:t xml:space="preserve"> </w:t>
      </w:r>
      <w:r>
        <w:rPr>
          <w:b/>
          <w:bCs/>
        </w:rPr>
        <w:t xml:space="preserve">97</w:t>
      </w:r>
      <w:r>
        <w:t xml:space="preserve">: 411–63.</w:t>
      </w:r>
    </w:p>
    <w:bookmarkEnd w:id="55"/>
    <w:bookmarkStart w:id="57" w:name="ref-Nauck1986"/>
    <w:p>
      <w:pPr>
        <w:pStyle w:val="Bibliography"/>
      </w:pPr>
      <w:r>
        <w:t xml:space="preserve">9</w:t>
      </w:r>
      <w:r>
        <w:t xml:space="preserve"> </w:t>
      </w:r>
      <w:r>
        <w:t xml:space="preserve">	</w:t>
      </w:r>
      <w:r>
        <w:t xml:space="preserve">Nauck MA, Stockmann F, Ebert R, Creutzfeldt W.</w:t>
      </w:r>
      <w:r>
        <w:t xml:space="preserve"> </w:t>
      </w:r>
      <w:hyperlink r:id="rId56">
        <w:r>
          <w:rPr>
            <w:rStyle w:val="Hyperlink"/>
          </w:rPr>
          <w:t xml:space="preserve">Reduced incretin effect in type 2 (non-insulin-dependent) diabetes</w:t>
        </w:r>
      </w:hyperlink>
      <w:r>
        <w:t xml:space="preserve">.</w:t>
      </w:r>
      <w:r>
        <w:t xml:space="preserve"> </w:t>
      </w:r>
      <w:r>
        <w:rPr>
          <w:i/>
          <w:iCs/>
        </w:rPr>
        <w:t xml:space="preserve">Diabetologia</w:t>
      </w:r>
      <w:r>
        <w:t xml:space="preserve"> </w:t>
      </w:r>
      <w:r>
        <w:t xml:space="preserve">1986;</w:t>
      </w:r>
      <w:r>
        <w:t xml:space="preserve"> </w:t>
      </w:r>
      <w:r>
        <w:rPr>
          <w:b/>
          <w:bCs/>
        </w:rPr>
        <w:t xml:space="preserve">29</w:t>
      </w:r>
      <w:r>
        <w:t xml:space="preserve">: 46–52.</w:t>
      </w:r>
    </w:p>
    <w:bookmarkEnd w:id="57"/>
    <w:bookmarkStart w:id="59" w:name="ref-Madsbad2014"/>
    <w:p>
      <w:pPr>
        <w:pStyle w:val="Bibliography"/>
      </w:pPr>
      <w:r>
        <w:t xml:space="preserve">10</w:t>
      </w:r>
      <w:r>
        <w:t xml:space="preserve"> </w:t>
      </w:r>
      <w:r>
        <w:t xml:space="preserve">	</w:t>
      </w:r>
      <w:r>
        <w:t xml:space="preserve">Madsbad S, Dirksen C, Holst JJ.</w:t>
      </w:r>
      <w:r>
        <w:t xml:space="preserve"> </w:t>
      </w:r>
      <w:hyperlink r:id="rId58">
        <w:r>
          <w:rPr>
            <w:rStyle w:val="Hyperlink"/>
          </w:rPr>
          <w:t xml:space="preserve">Mechanisms of changes in glucose metabolism and bodyweight after bariatric surgery</w:t>
        </w:r>
      </w:hyperlink>
      <w:r>
        <w:t xml:space="preserve">.</w:t>
      </w:r>
      <w:r>
        <w:t xml:space="preserve"> </w:t>
      </w:r>
      <w:r>
        <w:rPr>
          <w:i/>
          <w:iCs/>
        </w:rPr>
        <w:t xml:space="preserve">Lancet Diabetes &amp; Endocrinology</w:t>
      </w:r>
      <w:r>
        <w:t xml:space="preserve"> </w:t>
      </w:r>
      <w:r>
        <w:t xml:space="preserve">2014;</w:t>
      </w:r>
      <w:r>
        <w:t xml:space="preserve"> </w:t>
      </w:r>
      <w:r>
        <w:rPr>
          <w:b/>
          <w:bCs/>
        </w:rPr>
        <w:t xml:space="preserve">2</w:t>
      </w:r>
      <w:r>
        <w:t xml:space="preserve">: 152–64.</w:t>
      </w:r>
    </w:p>
    <w:bookmarkEnd w:id="59"/>
    <w:bookmarkStart w:id="60" w:name="ref-Camilleri2024"/>
    <w:p>
      <w:pPr>
        <w:pStyle w:val="Bibliography"/>
      </w:pPr>
      <w:r>
        <w:t xml:space="preserve">11</w:t>
      </w:r>
      <w:r>
        <w:t xml:space="preserve"> </w:t>
      </w:r>
      <w:r>
        <w:t xml:space="preserve">	</w:t>
      </w:r>
      <w:r>
        <w:t xml:space="preserve">Camilleri M. Incretin impact on gastric function in obesity.</w:t>
      </w:r>
      <w:r>
        <w:t xml:space="preserve"> </w:t>
      </w:r>
      <w:r>
        <w:rPr>
          <w:i/>
          <w:iCs/>
        </w:rPr>
        <w:t xml:space="preserve">Journal of Physiology</w:t>
      </w:r>
      <w:r>
        <w:t xml:space="preserve"> </w:t>
      </w:r>
      <w:r>
        <w:t xml:space="preserve">2024;</w:t>
      </w:r>
      <w:r>
        <w:t xml:space="preserve"> </w:t>
      </w:r>
      <w:r>
        <w:rPr>
          <w:b/>
          <w:bCs/>
        </w:rPr>
        <w:t xml:space="preserve">603</w:t>
      </w:r>
      <w:r>
        <w:t xml:space="preserve">: 7713–29.</w:t>
      </w:r>
    </w:p>
    <w:bookmarkEnd w:id="60"/>
    <w:bookmarkStart w:id="62" w:name="ref-HappGreven2018"/>
    <w:p>
      <w:pPr>
        <w:pStyle w:val="Bibliography"/>
      </w:pPr>
      <w:r>
        <w:t xml:space="preserve">12</w:t>
      </w:r>
      <w:r>
        <w:t xml:space="preserve"> </w:t>
      </w:r>
      <w:r>
        <w:t xml:space="preserve">	</w:t>
      </w:r>
      <w:r>
        <w:t xml:space="preserve">Happ C, Greven S.</w:t>
      </w:r>
      <w:r>
        <w:t xml:space="preserve"> </w:t>
      </w:r>
      <w:hyperlink r:id="rId61">
        <w:r>
          <w:rPr>
            <w:rStyle w:val="Hyperlink"/>
          </w:rPr>
          <w:t xml:space="preserve">Multivariate functional principal component analysis for data observed on different (dimensional) domains</w:t>
        </w:r>
      </w:hyperlink>
      <w:r>
        <w:t xml:space="preserve">.</w:t>
      </w:r>
      <w:r>
        <w:t xml:space="preserve"> </w:t>
      </w:r>
      <w:r>
        <w:rPr>
          <w:i/>
          <w:iCs/>
        </w:rPr>
        <w:t xml:space="preserve">Journal of the American Statistical Association</w:t>
      </w:r>
      <w:r>
        <w:t xml:space="preserve"> </w:t>
      </w:r>
      <w:r>
        <w:t xml:space="preserve">2018;</w:t>
      </w:r>
      <w:r>
        <w:t xml:space="preserve"> </w:t>
      </w:r>
      <w:r>
        <w:rPr>
          <w:b/>
          <w:bCs/>
        </w:rPr>
        <w:t xml:space="preserve">113</w:t>
      </w:r>
      <w:r>
        <w:t xml:space="preserve">: 649–59.</w:t>
      </w:r>
    </w:p>
    <w:bookmarkEnd w:id="62"/>
    <w:bookmarkStart w:id="64" w:name="ref-ChiouChenYang2014"/>
    <w:p>
      <w:pPr>
        <w:pStyle w:val="Bibliography"/>
      </w:pPr>
      <w:r>
        <w:t xml:space="preserve">13</w:t>
      </w:r>
      <w:r>
        <w:t xml:space="preserve"> </w:t>
      </w:r>
      <w:r>
        <w:t xml:space="preserve">	</w:t>
      </w:r>
      <w:r>
        <w:t xml:space="preserve">Chiou J-M, Chen Y-T, Yang Y-F.</w:t>
      </w:r>
      <w:r>
        <w:t xml:space="preserve"> </w:t>
      </w:r>
      <w:hyperlink r:id="rId63">
        <w:r>
          <w:rPr>
            <w:rStyle w:val="Hyperlink"/>
          </w:rPr>
          <w:t xml:space="preserve">Multivariate functional principal component analysis: A normalisation approach</w:t>
        </w:r>
      </w:hyperlink>
      <w:r>
        <w:t xml:space="preserve">.</w:t>
      </w:r>
      <w:r>
        <w:t xml:space="preserve"> </w:t>
      </w:r>
      <w:r>
        <w:rPr>
          <w:i/>
          <w:iCs/>
        </w:rPr>
        <w:t xml:space="preserve">Statistica Sinica</w:t>
      </w:r>
      <w:r>
        <w:t xml:space="preserve"> </w:t>
      </w:r>
      <w:r>
        <w:t xml:space="preserve">2014;</w:t>
      </w:r>
      <w:r>
        <w:t xml:space="preserve"> </w:t>
      </w:r>
      <w:r>
        <w:rPr>
          <w:b/>
          <w:bCs/>
        </w:rPr>
        <w:t xml:space="preserve">24</w:t>
      </w:r>
      <w:r>
        <w:t xml:space="preserve">: 1571–96.</w:t>
      </w:r>
    </w:p>
    <w:bookmarkEnd w:id="64"/>
    <w:bookmarkStart w:id="66" w:name="ref-Laferrere2008"/>
    <w:p>
      <w:pPr>
        <w:pStyle w:val="Bibliography"/>
      </w:pPr>
      <w:r>
        <w:t xml:space="preserve">14</w:t>
      </w:r>
      <w:r>
        <w:t xml:space="preserve"> </w:t>
      </w:r>
      <w:r>
        <w:t xml:space="preserve">	</w:t>
      </w:r>
      <w:r>
        <w:t xml:space="preserve">Laferrère B</w:t>
      </w:r>
      <w:r>
        <w:t xml:space="preserve"> </w:t>
      </w:r>
      <w:r>
        <w:rPr>
          <w:i/>
          <w:iCs/>
        </w:rPr>
        <w:t xml:space="preserve">et al.</w:t>
      </w:r>
      <w:r>
        <w:t xml:space="preserve"> </w:t>
      </w:r>
      <w:hyperlink r:id="rId65">
        <w:r>
          <w:rPr>
            <w:rStyle w:val="Hyperlink"/>
          </w:rPr>
          <w:t xml:space="preserve">Effect of weight loss by gastric bypass surgery versus hypocaloric diet on glucose and incretin levels in patients with type 2 diabetes</w:t>
        </w:r>
      </w:hyperlink>
      <w:r>
        <w:t xml:space="preserve">.</w:t>
      </w:r>
      <w:r>
        <w:t xml:space="preserve"> </w:t>
      </w:r>
      <w:r>
        <w:rPr>
          <w:i/>
          <w:iCs/>
        </w:rPr>
        <w:t xml:space="preserve">Journal of Clinical Endocrinology &amp; Metabolism</w:t>
      </w:r>
      <w:r>
        <w:t xml:space="preserve"> </w:t>
      </w:r>
      <w:r>
        <w:t xml:space="preserve">2008;</w:t>
      </w:r>
      <w:r>
        <w:t xml:space="preserve"> </w:t>
      </w:r>
      <w:r>
        <w:rPr>
          <w:b/>
          <w:bCs/>
        </w:rPr>
        <w:t xml:space="preserve">93</w:t>
      </w:r>
      <w:r>
        <w:t xml:space="preserve">: 2479–85.</w:t>
      </w:r>
    </w:p>
    <w:bookmarkEnd w:id="66"/>
    <w:bookmarkStart w:id="68" w:name="ref-Rubino2025"/>
    <w:p>
      <w:pPr>
        <w:pStyle w:val="Bibliography"/>
      </w:pPr>
      <w:r>
        <w:t xml:space="preserve">15</w:t>
      </w:r>
      <w:r>
        <w:t xml:space="preserve"> </w:t>
      </w:r>
      <w:r>
        <w:t xml:space="preserve">	</w:t>
      </w:r>
      <w:r>
        <w:t xml:space="preserve">Rubino F</w:t>
      </w:r>
      <w:r>
        <w:t xml:space="preserve"> </w:t>
      </w:r>
      <w:r>
        <w:rPr>
          <w:i/>
          <w:iCs/>
        </w:rPr>
        <w:t xml:space="preserve">et al.</w:t>
      </w:r>
      <w:r>
        <w:t xml:space="preserve"> </w:t>
      </w:r>
      <w:hyperlink r:id="rId67">
        <w:r>
          <w:rPr>
            <w:rStyle w:val="Hyperlink"/>
          </w:rPr>
          <w:t xml:space="preserve">Definition and diagnostic criteria of clinical obesity</w:t>
        </w:r>
      </w:hyperlink>
      <w:r>
        <w:t xml:space="preserve">.</w:t>
      </w:r>
      <w:r>
        <w:t xml:space="preserve"> </w:t>
      </w:r>
      <w:r>
        <w:rPr>
          <w:i/>
          <w:iCs/>
        </w:rPr>
        <w:t xml:space="preserve">Lancet Diabetes &amp; Endocrinology</w:t>
      </w:r>
      <w:r>
        <w:t xml:space="preserve"> </w:t>
      </w:r>
      <w:r>
        <w:t xml:space="preserve">2025;</w:t>
      </w:r>
      <w:r>
        <w:t xml:space="preserve"> </w:t>
      </w:r>
      <w:r>
        <w:rPr>
          <w:b/>
          <w:bCs/>
        </w:rPr>
        <w:t xml:space="preserve">13</w:t>
      </w:r>
      <w:r>
        <w:t xml:space="preserve">: 221–62.</w:t>
      </w:r>
    </w:p>
    <w:bookmarkEnd w:id="68"/>
    <w:bookmarkStart w:id="69" w:name="ref-Rohatgi2022WPD"/>
    <w:p>
      <w:pPr>
        <w:pStyle w:val="Bibliography"/>
      </w:pPr>
      <w:r>
        <w:t xml:space="preserve">16</w:t>
      </w:r>
      <w:r>
        <w:t xml:space="preserve"> </w:t>
      </w:r>
      <w:r>
        <w:t xml:space="preserve">	</w:t>
      </w:r>
      <w:r>
        <w:t xml:space="preserve">Rohatgi A.</w:t>
      </w:r>
      <w:r>
        <w:t xml:space="preserve"> </w:t>
      </w:r>
      <w:r>
        <w:t xml:space="preserve">WebPlotDigitizer</w:t>
      </w:r>
      <w:r>
        <w:t xml:space="preserve"> </w:t>
      </w:r>
      <w:r>
        <w:t xml:space="preserve">version 4.6. 2022.</w:t>
      </w:r>
    </w:p>
    <w:bookmarkEnd w:id="69"/>
    <w:bookmarkStart w:id="70" w:name="ref-Papadimitropoulou2020"/>
    <w:p>
      <w:pPr>
        <w:pStyle w:val="Bibliography"/>
      </w:pPr>
      <w:r>
        <w:t xml:space="preserve">17</w:t>
      </w:r>
      <w:r>
        <w:t xml:space="preserve"> </w:t>
      </w:r>
      <w:r>
        <w:t xml:space="preserve">	</w:t>
      </w:r>
      <w:r>
        <w:t xml:space="preserve">Papadimitropoulou K</w:t>
      </w:r>
      <w:r>
        <w:t xml:space="preserve"> </w:t>
      </w:r>
      <w:r>
        <w:rPr>
          <w:i/>
          <w:iCs/>
        </w:rPr>
        <w:t xml:space="preserve">et al.</w:t>
      </w:r>
      <w:r>
        <w:t xml:space="preserve"> Meta-analysis using pseudo individual participant data from aggregate data.</w:t>
      </w:r>
      <w:r>
        <w:t xml:space="preserve"> </w:t>
      </w:r>
      <w:r>
        <w:rPr>
          <w:i/>
          <w:iCs/>
        </w:rPr>
        <w:t xml:space="preserve">Research Synthesis Methods</w:t>
      </w:r>
      <w:r>
        <w:t xml:space="preserve"> </w:t>
      </w:r>
      <w:r>
        <w:t xml:space="preserve">2020;</w:t>
      </w:r>
      <w:r>
        <w:t xml:space="preserve"> </w:t>
      </w:r>
      <w:r>
        <w:rPr>
          <w:b/>
          <w:bCs/>
        </w:rPr>
        <w:t xml:space="preserve">11</w:t>
      </w:r>
      <w:r>
        <w:t xml:space="preserve">: 780–94.</w:t>
      </w:r>
    </w:p>
    <w:bookmarkEnd w:id="70"/>
    <w:bookmarkStart w:id="71" w:name="ref-Ramsay2005"/>
    <w:p>
      <w:pPr>
        <w:pStyle w:val="Bibliography"/>
      </w:pPr>
      <w:r>
        <w:t xml:space="preserve">18</w:t>
      </w:r>
      <w:r>
        <w:t xml:space="preserve"> </w:t>
      </w:r>
      <w:r>
        <w:t xml:space="preserve">	</w:t>
      </w:r>
      <w:r>
        <w:t xml:space="preserve">Ramsay JO, Silverman BW. Functional data analysis, 2nd edn. Springer, 2005.</w:t>
      </w:r>
    </w:p>
    <w:bookmarkEnd w:id="71"/>
    <w:bookmarkStart w:id="72" w:name="ref-Collins2024TRIPOD"/>
    <w:p>
      <w:pPr>
        <w:pStyle w:val="Bibliography"/>
      </w:pPr>
      <w:r>
        <w:t xml:space="preserve">19</w:t>
      </w:r>
      <w:r>
        <w:t xml:space="preserve"> </w:t>
      </w:r>
      <w:r>
        <w:t xml:space="preserve">	</w:t>
      </w:r>
      <w:r>
        <w:t xml:space="preserve">Collins GS</w:t>
      </w:r>
      <w:r>
        <w:t xml:space="preserve"> </w:t>
      </w:r>
      <w:r>
        <w:rPr>
          <w:i/>
          <w:iCs/>
        </w:rPr>
        <w:t xml:space="preserve">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t xml:space="preserve">2024;</w:t>
      </w:r>
      <w:r>
        <w:t xml:space="preserve"> </w:t>
      </w:r>
      <w:r>
        <w:rPr>
          <w:b/>
          <w:bCs/>
        </w:rPr>
        <w:t xml:space="preserve">385</w:t>
      </w:r>
      <w:r>
        <w:t xml:space="preserve">: e078378.</w:t>
      </w:r>
    </w:p>
    <w:bookmarkEnd w:id="72"/>
    <w:bookmarkStart w:id="74" w:name="ref-TuckerWu2014"/>
    <w:p>
      <w:pPr>
        <w:pStyle w:val="Bibliography"/>
      </w:pPr>
      <w:r>
        <w:t xml:space="preserve">20</w:t>
      </w:r>
      <w:r>
        <w:t xml:space="preserve"> </w:t>
      </w:r>
      <w:r>
        <w:t xml:space="preserve">	</w:t>
      </w:r>
      <w:r>
        <w:t xml:space="preserve">Tucker JD, Wu W, Srivastava A.</w:t>
      </w:r>
      <w:r>
        <w:t xml:space="preserve"> </w:t>
      </w:r>
      <w:hyperlink r:id="rId73">
        <w:r>
          <w:rPr>
            <w:rStyle w:val="Hyperlink"/>
          </w:rPr>
          <w:t xml:space="preserve">Generative models for functional data using phase and amplitude separation</w:t>
        </w:r>
      </w:hyperlink>
      <w:r>
        <w:t xml:space="preserve">.</w:t>
      </w:r>
      <w:r>
        <w:t xml:space="preserve"> </w:t>
      </w:r>
      <w:r>
        <w:rPr>
          <w:i/>
          <w:iCs/>
        </w:rPr>
        <w:t xml:space="preserve">Computational Statistics &amp; Data Analysis</w:t>
      </w:r>
      <w:r>
        <w:t xml:space="preserve"> </w:t>
      </w:r>
      <w:r>
        <w:t xml:space="preserve">2014;</w:t>
      </w:r>
      <w:r>
        <w:t xml:space="preserve"> </w:t>
      </w:r>
      <w:r>
        <w:rPr>
          <w:b/>
          <w:bCs/>
        </w:rPr>
        <w:t xml:space="preserve">61</w:t>
      </w:r>
      <w:r>
        <w:t xml:space="preserve">: 50–66.</w:t>
      </w:r>
    </w:p>
    <w:bookmarkEnd w:id="74"/>
    <w:bookmarkStart w:id="76" w:name="ref-LeRoux2006"/>
    <w:p>
      <w:pPr>
        <w:pStyle w:val="Bibliography"/>
      </w:pPr>
      <w:r>
        <w:t xml:space="preserve">21</w:t>
      </w:r>
      <w:r>
        <w:t xml:space="preserve"> </w:t>
      </w:r>
      <w:r>
        <w:t xml:space="preserve">	</w:t>
      </w:r>
      <w:r>
        <w:t xml:space="preserve">Roux CW le, Aylwin SJB, Batterham RL,</w:t>
      </w:r>
      <w:r>
        <w:t xml:space="preserve"> </w:t>
      </w:r>
      <w:r>
        <w:rPr>
          <w:i/>
          <w:iCs/>
        </w:rPr>
        <w:t xml:space="preserve">et al.</w:t>
      </w:r>
      <w:r>
        <w:t xml:space="preserve"> </w:t>
      </w:r>
      <w:hyperlink r:id="rId75">
        <w:r>
          <w:rPr>
            <w:rStyle w:val="Hyperlink"/>
          </w:rPr>
          <w:t xml:space="preserve">Gut hormone profiles following bariatric surgery favor an anorectic state, facilitate weight loss, and improve metabolic parameters</w:t>
        </w:r>
      </w:hyperlink>
      <w:r>
        <w:t xml:space="preserve">.</w:t>
      </w:r>
      <w:r>
        <w:t xml:space="preserve"> </w:t>
      </w:r>
      <w:r>
        <w:rPr>
          <w:i/>
          <w:iCs/>
        </w:rPr>
        <w:t xml:space="preserve">Annals of Surgery</w:t>
      </w:r>
      <w:r>
        <w:t xml:space="preserve"> </w:t>
      </w:r>
      <w:r>
        <w:t xml:space="preserve">2006;</w:t>
      </w:r>
      <w:r>
        <w:t xml:space="preserve"> </w:t>
      </w:r>
      <w:r>
        <w:rPr>
          <w:b/>
          <w:bCs/>
        </w:rPr>
        <w:t xml:space="preserve">243</w:t>
      </w:r>
      <w:r>
        <w:t xml:space="preserve">: 108–14.</w:t>
      </w:r>
    </w:p>
    <w:bookmarkEnd w:id="76"/>
    <w:bookmarkStart w:id="77" w:name="ref-Svane2019"/>
    <w:p>
      <w:pPr>
        <w:pStyle w:val="Bibliography"/>
      </w:pPr>
      <w:r>
        <w:t xml:space="preserve">22</w:t>
      </w:r>
      <w:r>
        <w:t xml:space="preserve"> </w:t>
      </w:r>
      <w:r>
        <w:t xml:space="preserve">	</w:t>
      </w:r>
      <w:r>
        <w:t xml:space="preserve">Svane MS, Bojsen-Møller KN, Madsbad S, Holst JJ. Updates in weight loss surgery and gastrointestinal peptides.</w:t>
      </w:r>
      <w:r>
        <w:t xml:space="preserve"> </w:t>
      </w:r>
      <w:r>
        <w:rPr>
          <w:i/>
          <w:iCs/>
        </w:rPr>
        <w:t xml:space="preserve">Current Opinion in Endocrinology, Diabetes and Obesity</w:t>
      </w:r>
      <w:r>
        <w:t xml:space="preserve"> </w:t>
      </w:r>
      <w:r>
        <w:t xml:space="preserve">2019;</w:t>
      </w:r>
      <w:r>
        <w:t xml:space="preserve"> </w:t>
      </w:r>
      <w:r>
        <w:rPr>
          <w:b/>
          <w:bCs/>
        </w:rPr>
        <w:t xml:space="preserve">26</w:t>
      </w:r>
      <w:r>
        <w:t xml:space="preserve">: 59–65.</w:t>
      </w:r>
    </w:p>
    <w:bookmarkEnd w:id="77"/>
    <w:bookmarkStart w:id="79" w:name="ref-Salehi2014"/>
    <w:p>
      <w:pPr>
        <w:pStyle w:val="Bibliography"/>
      </w:pPr>
      <w:r>
        <w:t xml:space="preserve">23</w:t>
      </w:r>
      <w:r>
        <w:t xml:space="preserve"> </w:t>
      </w:r>
      <w:r>
        <w:t xml:space="preserve">	</w:t>
      </w:r>
      <w:r>
        <w:t xml:space="preserve">Salehi M, Gastaldelli A, D’Alessio DA.</w:t>
      </w:r>
      <w:r>
        <w:t xml:space="preserve"> </w:t>
      </w:r>
      <w:hyperlink r:id="rId78">
        <w:r>
          <w:rPr>
            <w:rStyle w:val="Hyperlink"/>
          </w:rPr>
          <w:t xml:space="preserve">Altered islet function and insulin clearance cause hyperinsulinemia in gastric bypass patients with symptoms of postprandial hypoglycemia</w:t>
        </w:r>
      </w:hyperlink>
      <w:r>
        <w:t xml:space="preserve">.</w:t>
      </w:r>
      <w:r>
        <w:t xml:space="preserve"> </w:t>
      </w:r>
      <w:r>
        <w:rPr>
          <w:i/>
          <w:iCs/>
        </w:rPr>
        <w:t xml:space="preserve">Journal of Clinical Endocrinology &amp; Metabolism</w:t>
      </w:r>
      <w:r>
        <w:t xml:space="preserve"> </w:t>
      </w:r>
      <w:r>
        <w:t xml:space="preserve">2014;</w:t>
      </w:r>
      <w:r>
        <w:t xml:space="preserve"> </w:t>
      </w:r>
      <w:r>
        <w:rPr>
          <w:b/>
          <w:bCs/>
        </w:rPr>
        <w:t xml:space="preserve">99</w:t>
      </w:r>
      <w:r>
        <w:t xml:space="preserve">: 2008–17.</w:t>
      </w:r>
    </w:p>
    <w:bookmarkEnd w:id="79"/>
    <w:bookmarkStart w:id="81" w:name="ref-Berry2020"/>
    <w:p>
      <w:pPr>
        <w:pStyle w:val="Bibliography"/>
      </w:pPr>
      <w:r>
        <w:t xml:space="preserve">24</w:t>
      </w:r>
      <w:r>
        <w:t xml:space="preserve"> </w:t>
      </w:r>
      <w:r>
        <w:t xml:space="preserve">	</w:t>
      </w:r>
      <w:r>
        <w:t xml:space="preserve">Berry SE, Valdes AM, Drew DA,</w:t>
      </w:r>
      <w:r>
        <w:t xml:space="preserve"> </w:t>
      </w:r>
      <w:r>
        <w:rPr>
          <w:i/>
          <w:iCs/>
        </w:rPr>
        <w:t xml:space="preserve">et al.</w:t>
      </w:r>
      <w:r>
        <w:t xml:space="preserve"> </w:t>
      </w:r>
      <w:hyperlink r:id="rId80">
        <w:r>
          <w:rPr>
            <w:rStyle w:val="Hyperlink"/>
          </w:rPr>
          <w:t xml:space="preserve">Human postprandial responses to food and potential for precision nutrition</w:t>
        </w:r>
      </w:hyperlink>
      <w:r>
        <w:t xml:space="preserve">.</w:t>
      </w:r>
      <w:r>
        <w:t xml:space="preserve"> </w:t>
      </w:r>
      <w:r>
        <w:rPr>
          <w:i/>
          <w:iCs/>
        </w:rPr>
        <w:t xml:space="preserve">Nature Medicine</w:t>
      </w:r>
      <w:r>
        <w:t xml:space="preserve"> </w:t>
      </w:r>
      <w:r>
        <w:t xml:space="preserve">2020;</w:t>
      </w:r>
      <w:r>
        <w:t xml:space="preserve"> </w:t>
      </w:r>
      <w:r>
        <w:rPr>
          <w:b/>
          <w:bCs/>
        </w:rPr>
        <w:t xml:space="preserve">26</w:t>
      </w:r>
      <w:r>
        <w:t xml:space="preserve">: 964–73.</w:t>
      </w:r>
    </w:p>
    <w:bookmarkEnd w:id="81"/>
    <w:bookmarkStart w:id="83" w:name="ref-Hall2018"/>
    <w:p>
      <w:pPr>
        <w:pStyle w:val="Bibliography"/>
      </w:pPr>
      <w:r>
        <w:t xml:space="preserve">25</w:t>
      </w:r>
      <w:r>
        <w:t xml:space="preserve"> </w:t>
      </w:r>
      <w:r>
        <w:t xml:space="preserve">	</w:t>
      </w:r>
      <w:r>
        <w:t xml:space="preserve">Hall H, Perelman D, Breschi A,</w:t>
      </w:r>
      <w:r>
        <w:t xml:space="preserve"> </w:t>
      </w:r>
      <w:r>
        <w:rPr>
          <w:i/>
          <w:iCs/>
        </w:rPr>
        <w:t xml:space="preserve">et al.</w:t>
      </w:r>
      <w:r>
        <w:t xml:space="preserve"> </w:t>
      </w:r>
      <w:hyperlink r:id="rId82">
        <w:r>
          <w:rPr>
            <w:rStyle w:val="Hyperlink"/>
          </w:rPr>
          <w:t xml:space="preserve">Glucotypes reveal new patterns of glucose dysregulation</w:t>
        </w:r>
      </w:hyperlink>
      <w:r>
        <w:t xml:space="preserve">.</w:t>
      </w:r>
      <w:r>
        <w:t xml:space="preserve"> </w:t>
      </w:r>
      <w:r>
        <w:rPr>
          <w:i/>
          <w:iCs/>
        </w:rPr>
        <w:t xml:space="preserve">PLoS Biology</w:t>
      </w:r>
      <w:r>
        <w:t xml:space="preserve"> </w:t>
      </w:r>
      <w:r>
        <w:t xml:space="preserve">2018;</w:t>
      </w:r>
      <w:r>
        <w:t xml:space="preserve"> </w:t>
      </w:r>
      <w:r>
        <w:rPr>
          <w:b/>
          <w:bCs/>
        </w:rPr>
        <w:t xml:space="preserve">16</w:t>
      </w:r>
      <w:r>
        <w:t xml:space="preserve">: e2005143.</w:t>
      </w:r>
    </w:p>
    <w:bookmarkEnd w:id="83"/>
    <w:bookmarkStart w:id="85" w:name="ref-Frias2021SURPASS2"/>
    <w:p>
      <w:pPr>
        <w:pStyle w:val="Bibliography"/>
      </w:pPr>
      <w:r>
        <w:t xml:space="preserve">26</w:t>
      </w:r>
      <w:r>
        <w:t xml:space="preserve"> </w:t>
      </w:r>
      <w:r>
        <w:t xml:space="preserve">	</w:t>
      </w:r>
      <w:r>
        <w:t xml:space="preserve">Frías JP, Davies MJ, Rosenstock J,</w:t>
      </w:r>
      <w:r>
        <w:t xml:space="preserve"> </w:t>
      </w:r>
      <w:r>
        <w:rPr>
          <w:i/>
          <w:iCs/>
        </w:rPr>
        <w:t xml:space="preserve">et al.</w:t>
      </w:r>
      <w:r>
        <w:t xml:space="preserve"> </w:t>
      </w:r>
      <w:hyperlink r:id="rId84">
        <w:r>
          <w:rPr>
            <w:rStyle w:val="Hyperlink"/>
          </w:rPr>
          <w:t xml:space="preserve">Tirzepatide versus semaglutide once weekly in patients with type 2 diabetes (SURPASS-2)</w:t>
        </w:r>
      </w:hyperlink>
      <w:r>
        <w:t xml:space="preserve">.</w:t>
      </w:r>
      <w:r>
        <w:t xml:space="preserve"> </w:t>
      </w:r>
      <w:r>
        <w:rPr>
          <w:i/>
          <w:iCs/>
        </w:rPr>
        <w:t xml:space="preserve">New England Journal of Medicine</w:t>
      </w:r>
      <w:r>
        <w:t xml:space="preserve"> </w:t>
      </w:r>
      <w:r>
        <w:t xml:space="preserve">2021;</w:t>
      </w:r>
      <w:r>
        <w:t xml:space="preserve"> </w:t>
      </w:r>
      <w:r>
        <w:rPr>
          <w:b/>
          <w:bCs/>
        </w:rPr>
        <w:t xml:space="preserve">385</w:t>
      </w:r>
      <w:r>
        <w:t xml:space="preserve">: 503–15.</w:t>
      </w:r>
    </w:p>
    <w:bookmarkEnd w:id="85"/>
    <w:bookmarkStart w:id="87" w:name="ref-Heise2022"/>
    <w:p>
      <w:pPr>
        <w:pStyle w:val="Bibliography"/>
      </w:pPr>
      <w:r>
        <w:t xml:space="preserve">27</w:t>
      </w:r>
      <w:r>
        <w:t xml:space="preserve"> </w:t>
      </w:r>
      <w:r>
        <w:t xml:space="preserve">	</w:t>
      </w:r>
      <w:r>
        <w:t xml:space="preserve">Heise T, Mari A, DeVries JH,</w:t>
      </w:r>
      <w:r>
        <w:t xml:space="preserve"> </w:t>
      </w:r>
      <w:r>
        <w:rPr>
          <w:i/>
          <w:iCs/>
        </w:rPr>
        <w:t xml:space="preserve">et al.</w:t>
      </w:r>
      <w:r>
        <w:t xml:space="preserve"> </w:t>
      </w:r>
      <w:hyperlink r:id="rId86">
        <w:r>
          <w:rPr>
            <w:rStyle w:val="Hyperlink"/>
          </w:rPr>
          <w:t xml:space="preserve">Effects of subcutaneous tirzepatide versus placebo or semaglutide on pancreatic islet function and insulin sensitivity in adults with type 2 diabetes</w:t>
        </w:r>
      </w:hyperlink>
      <w:r>
        <w:t xml:space="preserve">.</w:t>
      </w:r>
      <w:r>
        <w:t xml:space="preserve"> </w:t>
      </w:r>
      <w:r>
        <w:rPr>
          <w:i/>
          <w:iCs/>
        </w:rPr>
        <w:t xml:space="preserve">Lancet Diabetes &amp; Endocrinology</w:t>
      </w:r>
      <w:r>
        <w:t xml:space="preserve"> </w:t>
      </w:r>
      <w:r>
        <w:t xml:space="preserve">2022;</w:t>
      </w:r>
      <w:r>
        <w:t xml:space="preserve"> </w:t>
      </w:r>
      <w:r>
        <w:rPr>
          <w:b/>
          <w:bCs/>
        </w:rPr>
        <w:t xml:space="preserve">10</w:t>
      </w:r>
      <w:r>
        <w:t xml:space="preserve">: 418–29.</w:t>
      </w:r>
    </w:p>
    <w:bookmarkEnd w:id="87"/>
    <w:bookmarkStart w:id="89" w:name="ref-Rosenstock2023Retatrutide"/>
    <w:p>
      <w:pPr>
        <w:pStyle w:val="Bibliography"/>
      </w:pPr>
      <w:r>
        <w:t xml:space="preserve">28</w:t>
      </w:r>
      <w:r>
        <w:t xml:space="preserve"> </w:t>
      </w:r>
      <w:r>
        <w:t xml:space="preserve">	</w:t>
      </w:r>
      <w:r>
        <w:t xml:space="preserve">Rosenstock J, Frias JP, Jástreboff AM,</w:t>
      </w:r>
      <w:r>
        <w:t xml:space="preserve"> </w:t>
      </w:r>
      <w:r>
        <w:rPr>
          <w:i/>
          <w:iCs/>
        </w:rPr>
        <w:t xml:space="preserve">et al.</w:t>
      </w:r>
      <w:r>
        <w:t xml:space="preserve"> </w:t>
      </w:r>
      <w:hyperlink r:id="rId88">
        <w:r>
          <w:rPr>
            <w:rStyle w:val="Hyperlink"/>
          </w:rPr>
          <w:t xml:space="preserve">Retatrutide, a triple agonist of</w:t>
        </w:r>
        <w:r>
          <w:rPr>
            <w:rStyle w:val="Hyperlink"/>
          </w:rPr>
          <w:t xml:space="preserve"> </w:t>
        </w:r>
        <w:r>
          <w:rPr>
            <w:rStyle w:val="Hyperlink"/>
          </w:rPr>
          <w:t xml:space="preserve">GLP-1</w:t>
        </w:r>
        <w:r>
          <w:rPr>
            <w:rStyle w:val="Hyperlink"/>
          </w:rPr>
          <w:t xml:space="preserve">,</w:t>
        </w:r>
        <w:r>
          <w:rPr>
            <w:rStyle w:val="Hyperlink"/>
          </w:rPr>
          <w:t xml:space="preserve"> </w:t>
        </w:r>
        <w:r>
          <w:rPr>
            <w:rStyle w:val="Hyperlink"/>
          </w:rPr>
          <w:t xml:space="preserve">GIP</w:t>
        </w:r>
        <w:r>
          <w:rPr>
            <w:rStyle w:val="Hyperlink"/>
          </w:rPr>
          <w:t xml:space="preserve">, and glucagon receptors, in obesity</w:t>
        </w:r>
      </w:hyperlink>
      <w:r>
        <w:t xml:space="preserve">.</w:t>
      </w:r>
      <w:r>
        <w:t xml:space="preserve"> </w:t>
      </w:r>
      <w:r>
        <w:rPr>
          <w:i/>
          <w:iCs/>
        </w:rPr>
        <w:t xml:space="preserve">New England Journal of Medicine</w:t>
      </w:r>
      <w:r>
        <w:t xml:space="preserve"> </w:t>
      </w:r>
      <w:r>
        <w:t xml:space="preserve">2023;</w:t>
      </w:r>
      <w:r>
        <w:t xml:space="preserve"> </w:t>
      </w:r>
      <w:r>
        <w:rPr>
          <w:b/>
          <w:bCs/>
        </w:rPr>
        <w:t xml:space="preserve">389</w:t>
      </w:r>
      <w:r>
        <w:t xml:space="preserve">: 514–26.</w:t>
      </w:r>
    </w:p>
    <w:bookmarkEnd w:id="89"/>
    <w:bookmarkStart w:id="90" w:name="ref-Robinson1950"/>
    <w:p>
      <w:pPr>
        <w:pStyle w:val="Bibliography"/>
      </w:pPr>
      <w:r>
        <w:t xml:space="preserve">29</w:t>
      </w:r>
      <w:r>
        <w:t xml:space="preserve"> </w:t>
      </w:r>
      <w:r>
        <w:t xml:space="preserve">	</w:t>
      </w:r>
      <w:r>
        <w:t xml:space="preserve">Robinson WS. Ecological correlations and the behavior of individuals.</w:t>
      </w:r>
      <w:r>
        <w:t xml:space="preserve"> </w:t>
      </w:r>
      <w:r>
        <w:rPr>
          <w:i/>
          <w:iCs/>
        </w:rPr>
        <w:t xml:space="preserve">American Sociological Review</w:t>
      </w:r>
      <w:r>
        <w:t xml:space="preserve"> </w:t>
      </w:r>
      <w:r>
        <w:t xml:space="preserve">1950;</w:t>
      </w:r>
      <w:r>
        <w:t xml:space="preserve"> </w:t>
      </w:r>
      <w:r>
        <w:rPr>
          <w:b/>
          <w:bCs/>
        </w:rPr>
        <w:t xml:space="preserve">15</w:t>
      </w:r>
      <w:r>
        <w:t xml:space="preserve">: 351–7.</w:t>
      </w:r>
    </w:p>
    <w:bookmarkEnd w:id="90"/>
    <w:bookmarkEnd w:id="91"/>
    <w:p>
      <w:r>
        <w:pict>
          <v:rect style="width:0;height:1.5pt" o:hralign="center" o:hrstd="t" o:hr="t"/>
        </w:pict>
      </w:r>
    </w:p>
    <w:bookmarkEnd w:id="92"/>
    <w:bookmarkStart w:id="93" w:name="display-item-captions"/>
    <w:p>
      <w:pPr>
        <w:pStyle w:val="Heading1"/>
      </w:pPr>
      <w:r>
        <w:t xml:space="preserve">Display item captions</w:t>
      </w:r>
    </w:p>
    <w:p>
      <w:pPr>
        <w:pStyle w:val="FirstParagraph"/>
      </w:pPr>
      <w:r>
        <w:t xml:space="preserve">**DI1 — Architecture of the Hilbert product space H = ∏_j L²(T_j) with Chiou weights.** Conceptual rendering of the four conceptual moves: (i) the periprandial transition as the unit of analysis; (ii) physiologic periprandial responsiveness as the operational construct; (iii) weight as a contextual modifier (cohort-strata depiction); (iv) the non-obese without T2D cohort as the reference distribution. Chiou weights w_j = 1/√tr(C^{(jj)}) illustrated as block-share bars across the nine analyte forms of the joint operator.</w:t>
      </w:r>
    </w:p>
    <w:p>
      <w:pPr>
        <w:pStyle w:val="BodyText"/>
      </w:pPr>
      <w:r>
        <w:rPr>
          <w:b/>
          <w:bCs/>
        </w:rPr>
        <w:t xml:space="preserve">DI2 — Four leading mFPC eigenfunctions with physiological annotation.</w:t>
      </w:r>
      <w:r>
        <w:t xml:space="preserve"> </w:t>
      </w:r>
      <w:r>
        <w:t xml:space="preserve">Eigenfunctions Ψ̂_1, …, Ψ̂_4 plotted across the periprandial time grid for each of the nine analyte blocks. Annotation overlays mark: (Ψ̂_1) PYY-total dominance with integrated squared L²-norm 0·762; (Ψ̂_2) early-peak GIP active and insulin versus late-peak GLP-1 active and PYY total; (Ψ̂_3) biphasic glucose–insulin coupling; (Ψ̂_4) ghrelin tone. Generated by</w:t>
      </w:r>
      <w:r>
        <w:t xml:space="preserve"> </w:t>
      </w:r>
      <w:r>
        <w:rPr>
          <w:rStyle w:val="VerbatimChar"/>
        </w:rPr>
        <w:t xml:space="preserve">02_code/10_A1_conceptual_figs.R</w:t>
      </w:r>
      <w:r>
        <w:t xml:space="preserve">.</w:t>
      </w:r>
    </w:p>
    <w:p>
      <w:pPr>
        <w:pStyle w:val="BodyText"/>
      </w:pPr>
      <w:r>
        <w:rPr>
          <w:b/>
          <w:bCs/>
        </w:rPr>
        <w:t xml:space="preserve">DI3 — Cohort-level mean trajectories with simultaneous bootstrap bands.</w:t>
      </w:r>
      <w:r>
        <w:t xml:space="preserve"> </w:t>
      </w:r>
      <w:r>
        <w:t xml:space="preserve">Mean trajectories of representative analytes (PYY total, GLP-1 active, ghrelin total, GIP active) by cohort, with simultaneous 95 % bootstrap bands by Goldsmith 2013 / Degras 2011 sup-t method. The non-obese without T2D reference cohort defines the band; cohort-specific deviations are highlighted.</w:t>
      </w:r>
    </w:p>
    <w:p>
      <w:pPr>
        <w:pStyle w:val="BodyText"/>
      </w:pPr>
      <w:r>
        <w:rPr>
          <w:b/>
          <w:bCs/>
        </w:rPr>
        <w:t xml:space="preserve">DI4 — Heatmap of per-analyte PTP labels by cohort.</w:t>
      </w:r>
      <w:r>
        <w:t xml:space="preserve"> </w:t>
      </w:r>
      <w:r>
        <w:t xml:space="preserve">Stacked-bar heatmap of the nine PTP labels (Preserved, Borderline Impaired, Impaired, Blunted, Borderline Altered, Altered, Recovered, Borderline Enhanced, Enhanced) by cohort and analyte, illustrating the qualitative cohort-level signatures at the per-analyte input layer (the integrated IEP Types I–V analysis is reported in companion paper A3).</w:t>
      </w:r>
    </w:p>
    <w:p>
      <w:r>
        <w:pict>
          <v:rect style="width:0;height:1.5pt" o:hralign="center" o:hrstd="t" o:hr="t"/>
        </w:pict>
      </w:r>
    </w:p>
    <w:bookmarkEnd w:id="93"/>
    <w:bookmarkStart w:id="97" w:name="tables"/>
    <w:p>
      <w:pPr>
        <w:pStyle w:val="Heading1"/>
      </w:pPr>
      <w:r>
        <w:t xml:space="preserve">Tables</w:t>
      </w:r>
    </w:p>
    <w:bookmarkStart w:id="94" w:name="X73581c62e74d8ff0aa4733fbcf938d87035eb45"/>
    <w:p>
      <w:pPr>
        <w:pStyle w:val="Heading2"/>
      </w:pPr>
      <w:r>
        <w:t xml:space="preserve">Table 1 — Cohort, panel, and reference adequacy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right"/>
            </w:pPr>
            <w:r>
              <w:t xml:space="preserve">Productive arms</w:t>
            </w:r>
          </w:p>
        </w:tc>
        <w:tc>
          <w:tcPr/>
          <w:p>
            <w:pPr>
              <w:pStyle w:val="Compact"/>
              <w:jc w:val="right"/>
            </w:pPr>
            <w:r>
              <w:t xml:space="preserve">Pseudo-subjects</w:t>
            </w:r>
          </w:p>
        </w:tc>
        <w:tc>
          <w:tcPr/>
          <w:p>
            <w:pPr>
              <w:pStyle w:val="Compact"/>
              <w:jc w:val="right"/>
            </w:pPr>
            <w:r>
              <w:t xml:space="preserve">Joint-block n</w:t>
            </w:r>
          </w:p>
        </w:tc>
        <w:tc>
          <w:tcPr/>
          <w:p>
            <w:pPr>
              <w:pStyle w:val="Compact"/>
              <w:jc w:val="left"/>
            </w:pPr>
            <w:r>
              <w:t xml:space="preserve">Reference adequacy (n_ref ≥ 8 per analyte)</w:t>
            </w:r>
          </w:p>
        </w:tc>
      </w:tr>
      <w:tr>
        <w:tc>
          <w:tcPr/>
          <w:p>
            <w:pPr>
              <w:pStyle w:val="Compact"/>
              <w:jc w:val="left"/>
            </w:pPr>
            <w:r>
              <w:t xml:space="preserve">Non-obese without T2D (reference)</w:t>
            </w:r>
          </w:p>
        </w:tc>
        <w:tc>
          <w:tcPr/>
          <w:p>
            <w:pPr>
              <w:pStyle w:val="Compact"/>
              <w:jc w:val="right"/>
            </w:pPr>
            <w:r>
              <w:t xml:space="preserve">13</w:t>
            </w:r>
          </w:p>
        </w:tc>
        <w:tc>
          <w:tcPr/>
          <w:p>
            <w:pPr>
              <w:pStyle w:val="Compact"/>
              <w:jc w:val="right"/>
            </w:pPr>
            <w:r>
              <w:t xml:space="preserve">650</w:t>
            </w:r>
          </w:p>
        </w:tc>
        <w:tc>
          <w:tcPr/>
          <w:p>
            <w:pPr>
              <w:pStyle w:val="Compact"/>
              <w:jc w:val="right"/>
            </w:pPr>
            <w:r>
              <w:t xml:space="preserve">350</w:t>
            </w:r>
          </w:p>
        </w:tc>
        <w:tc>
          <w:tcPr/>
          <w:p>
            <w:pPr>
              <w:pStyle w:val="Compact"/>
              <w:jc w:val="left"/>
            </w:pPr>
            <w:r>
              <w:t xml:space="preserve">Complete (9/9 analytes)</w:t>
            </w:r>
          </w:p>
        </w:tc>
      </w:tr>
      <w:tr>
        <w:tc>
          <w:tcPr/>
          <w:p>
            <w:pPr>
              <w:pStyle w:val="Compact"/>
              <w:jc w:val="left"/>
            </w:pPr>
            <w:r>
              <w:t xml:space="preserve">Obesity</w:t>
            </w:r>
          </w:p>
        </w:tc>
        <w:tc>
          <w:tcPr/>
          <w:p>
            <w:pPr>
              <w:pStyle w:val="Compact"/>
              <w:jc w:val="right"/>
            </w:pPr>
            <w:r>
              <w:t xml:space="preserve">14</w:t>
            </w:r>
          </w:p>
        </w:tc>
        <w:tc>
          <w:tcPr/>
          <w:p>
            <w:pPr>
              <w:pStyle w:val="Compact"/>
              <w:jc w:val="right"/>
            </w:pPr>
            <w:r>
              <w:t xml:space="preserve">700</w:t>
            </w:r>
          </w:p>
        </w:tc>
        <w:tc>
          <w:tcPr/>
          <w:p>
            <w:pPr>
              <w:pStyle w:val="Compact"/>
              <w:jc w:val="right"/>
            </w:pPr>
            <w:r>
              <w:t xml:space="preserve">n.a. (per-analyte only)</w:t>
            </w:r>
          </w:p>
        </w:tc>
        <w:tc>
          <w:tcPr/>
          <w:p>
            <w:pPr>
              <w:pStyle w:val="Compact"/>
              <w:jc w:val="left"/>
            </w:pPr>
            <w:r>
              <w:t xml:space="preserve">n.a.</w:t>
            </w:r>
          </w:p>
        </w:tc>
      </w:tr>
      <w:tr>
        <w:tc>
          <w:tcPr/>
          <w:p>
            <w:pPr>
              <w:pStyle w:val="Compact"/>
              <w:jc w:val="left"/>
            </w:pPr>
            <w:r>
              <w:t xml:space="preserve">T2DM</w:t>
            </w:r>
          </w:p>
        </w:tc>
        <w:tc>
          <w:tcPr/>
          <w:p>
            <w:pPr>
              <w:pStyle w:val="Compact"/>
              <w:jc w:val="right"/>
            </w:pPr>
            <w:r>
              <w:t xml:space="preserve">4</w:t>
            </w:r>
          </w:p>
        </w:tc>
        <w:tc>
          <w:tcPr/>
          <w:p>
            <w:pPr>
              <w:pStyle w:val="Compact"/>
              <w:jc w:val="right"/>
            </w:pPr>
            <w:r>
              <w:t xml:space="preserve">200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Obesity + T2DM</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Caloric restriction (Post-CR)</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Sleeve gastrectomy (SG)</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Roux-en-Y gastric bypass (RYGBP)</w:t>
            </w:r>
          </w:p>
        </w:tc>
        <w:tc>
          <w:tcPr/>
          <w:p>
            <w:pPr>
              <w:pStyle w:val="Compact"/>
              <w:jc w:val="right"/>
            </w:pPr>
            <w:r>
              <w:t xml:space="preserve">10</w:t>
            </w:r>
          </w:p>
        </w:tc>
        <w:tc>
          <w:tcPr/>
          <w:p>
            <w:pPr>
              <w:pStyle w:val="Compact"/>
              <w:jc w:val="right"/>
            </w:pPr>
            <w:r>
              <w:t xml:space="preserve">500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rPr>
                <w:b/>
                <w:bCs/>
              </w:rPr>
              <w:t xml:space="preserve">Total</w:t>
            </w:r>
          </w:p>
        </w:tc>
        <w:tc>
          <w:tcPr/>
          <w:p>
            <w:pPr>
              <w:pStyle w:val="Compact"/>
              <w:jc w:val="right"/>
            </w:pPr>
            <w:r>
              <w:rPr>
                <w:b/>
                <w:bCs/>
              </w:rPr>
              <w:t xml:space="preserve">55</w:t>
            </w:r>
            <w:r>
              <w:t xml:space="preserve"> </w:t>
            </w:r>
            <w:r>
              <w:t xml:space="preserve">(from 71 Author × Cohort tuples in 23 source studies)</w:t>
            </w:r>
          </w:p>
        </w:tc>
        <w:tc>
          <w:tcPr/>
          <w:p>
            <w:pPr>
              <w:pStyle w:val="Compact"/>
              <w:jc w:val="right"/>
            </w:pPr>
            <w:r>
              <w:rPr>
                <w:b/>
                <w:bCs/>
              </w:rPr>
              <w:t xml:space="preserve">2,750</w:t>
            </w:r>
          </w:p>
        </w:tc>
        <w:tc>
          <w:tcPr/>
          <w:p>
            <w:pPr>
              <w:pStyle w:val="Compact"/>
              <w:jc w:val="right"/>
            </w:pPr>
            <w:r>
              <w:rPr>
                <w:b/>
                <w:bCs/>
              </w:rPr>
              <w:t xml:space="preserve">350</w:t>
            </w:r>
            <w:r>
              <w:t xml:space="preserve"> </w:t>
            </w:r>
            <w:r>
              <w:t xml:space="preserve">(smallest joint block)</w:t>
            </w:r>
          </w:p>
        </w:tc>
        <w:tc>
          <w:tcPr/>
          <w:p>
            <w:pPr>
              <w:pStyle w:val="Compact"/>
              <w:jc w:val="left"/>
            </w:pPr>
            <w:r>
              <w:t xml:space="preserve">—</w:t>
            </w:r>
          </w:p>
        </w:tc>
      </w:tr>
    </w:tbl>
    <w:p>
      <w:pPr>
        <w:pStyle w:val="BodyText"/>
      </w:pPr>
      <w:r>
        <w:t xml:space="preserve">The Happ–Greven joint operator includes 9 analyte forms (GIP active and total, GLP-1 active and total, PYY total and 3-36, ghrelin total and acyl, glucagon); glucose and insulin enter the per-analyte PTP layer (11 analyte forms in total) but not the joint operator. SHA-256 of</w:t>
      </w:r>
      <w:r>
        <w:t xml:space="preserve"> </w:t>
      </w:r>
      <w:r>
        <w:rPr>
          <w:rStyle w:val="VerbatimChar"/>
        </w:rPr>
        <w:t xml:space="preserve">master_table.csv</w:t>
      </w:r>
      <w:r>
        <w:t xml:space="preserve">:</w:t>
      </w:r>
      <w:r>
        <w:t xml:space="preserve"> </w:t>
      </w:r>
      <w:r>
        <w:rPr>
          <w:rStyle w:val="VerbatimChar"/>
        </w:rPr>
        <w:t xml:space="preserve">2829cd78018e411783671ec00f849647858bda552cfa4ec23ad505ba9704a117</w:t>
      </w:r>
      <w:r>
        <w:t xml:space="preserve">.</w:t>
      </w:r>
    </w:p>
    <w:bookmarkEnd w:id="94"/>
    <w:bookmarkStart w:id="95" w:name="X3dec34c01b70d3c8e44de60d64e55b41ef47fbb"/>
    <w:p>
      <w:pPr>
        <w:pStyle w:val="Heading2"/>
      </w:pPr>
      <w:r>
        <w:t xml:space="preserve">Table 2 — Eigenfunction loadings by analyte and component (integrated squared L²-norm)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Analyte block</w:t>
            </w:r>
          </w:p>
        </w:tc>
        <w:tc>
          <w:tcPr/>
          <w:p>
            <w:pPr>
              <w:pStyle w:val="Compact"/>
              <w:jc w:val="right"/>
            </w:pPr>
            <w:r>
              <w:t xml:space="preserve">Ψ̂_1</w:t>
            </w:r>
          </w:p>
        </w:tc>
        <w:tc>
          <w:tcPr/>
          <w:p>
            <w:pPr>
              <w:pStyle w:val="Compact"/>
              <w:jc w:val="right"/>
            </w:pPr>
            <w:r>
              <w:t xml:space="preserve">Ψ̂_2</w:t>
            </w:r>
          </w:p>
        </w:tc>
        <w:tc>
          <w:tcPr/>
          <w:p>
            <w:pPr>
              <w:pStyle w:val="Compact"/>
              <w:jc w:val="right"/>
            </w:pPr>
            <w:r>
              <w:t xml:space="preserve">Ψ̂_3</w:t>
            </w:r>
          </w:p>
        </w:tc>
        <w:tc>
          <w:tcPr/>
          <w:p>
            <w:pPr>
              <w:pStyle w:val="Compact"/>
              <w:jc w:val="right"/>
            </w:pPr>
            <w:r>
              <w:t xml:space="preserve">Ψ̂_4</w:t>
            </w:r>
          </w:p>
        </w:tc>
      </w:tr>
      <w:tr>
        <w:tc>
          <w:tcPr/>
          <w:p>
            <w:pPr>
              <w:pStyle w:val="Compact"/>
              <w:jc w:val="left"/>
            </w:pPr>
            <w:r>
              <w:t xml:space="preserve">PYY total</w:t>
            </w:r>
          </w:p>
        </w:tc>
        <w:tc>
          <w:tcPr/>
          <w:p>
            <w:pPr>
              <w:pStyle w:val="Compact"/>
              <w:jc w:val="right"/>
            </w:pPr>
            <w:r>
              <w:t xml:space="preserve">0·762</w:t>
            </w:r>
          </w:p>
        </w:tc>
        <w:tc>
          <w:tcPr/>
          <w:p>
            <w:pPr>
              <w:pStyle w:val="Compact"/>
              <w:jc w:val="right"/>
            </w:pPr>
            <w:r>
              <w:t xml:space="preserve">0·14</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GLP-1 active</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0·05</w:t>
            </w:r>
          </w:p>
        </w:tc>
        <w:tc>
          <w:tcPr/>
          <w:p>
            <w:pPr>
              <w:pStyle w:val="Compact"/>
              <w:jc w:val="right"/>
            </w:pPr>
            <w:r>
              <w:t xml:space="preserve">0·05</w:t>
            </w:r>
          </w:p>
        </w:tc>
      </w:tr>
      <w:tr>
        <w:tc>
          <w:tcPr/>
          <w:p>
            <w:pPr>
              <w:pStyle w:val="Compact"/>
              <w:jc w:val="left"/>
            </w:pPr>
            <w:r>
              <w:t xml:space="preserve">GIP active</w:t>
            </w:r>
          </w:p>
        </w:tc>
        <w:tc>
          <w:tcPr/>
          <w:p>
            <w:pPr>
              <w:pStyle w:val="Compact"/>
              <w:jc w:val="right"/>
            </w:pPr>
            <w:r>
              <w:t xml:space="preserve">0·05</w:t>
            </w:r>
          </w:p>
        </w:tc>
        <w:tc>
          <w:tcPr/>
          <w:p>
            <w:pPr>
              <w:pStyle w:val="Compact"/>
              <w:jc w:val="right"/>
            </w:pPr>
            <w:r>
              <w:t xml:space="preserve">0·31</w:t>
            </w:r>
          </w:p>
        </w:tc>
        <w:tc>
          <w:tcPr/>
          <w:p>
            <w:pPr>
              <w:pStyle w:val="Compact"/>
              <w:jc w:val="right"/>
            </w:pPr>
            <w:r>
              <w:t xml:space="preserve">0·08</w:t>
            </w:r>
          </w:p>
        </w:tc>
        <w:tc>
          <w:tcPr/>
          <w:p>
            <w:pPr>
              <w:pStyle w:val="Compact"/>
              <w:jc w:val="right"/>
            </w:pPr>
            <w:r>
              <w:t xml:space="preserve">0·05</w:t>
            </w:r>
          </w:p>
        </w:tc>
      </w:tr>
      <w:tr>
        <w:tc>
          <w:tcPr/>
          <w:p>
            <w:pPr>
              <w:pStyle w:val="Compact"/>
              <w:jc w:val="left"/>
            </w:pPr>
            <w:r>
              <w:t xml:space="preserve">GIP total</w:t>
            </w:r>
          </w:p>
        </w:tc>
        <w:tc>
          <w:tcPr/>
          <w:p>
            <w:pPr>
              <w:pStyle w:val="Compact"/>
              <w:jc w:val="right"/>
            </w:pPr>
            <w:r>
              <w:t xml:space="preserve">0·07</w:t>
            </w:r>
          </w:p>
        </w:tc>
        <w:tc>
          <w:tcPr/>
          <w:p>
            <w:pPr>
              <w:pStyle w:val="Compact"/>
              <w:jc w:val="right"/>
            </w:pPr>
            <w:r>
              <w:t xml:space="preserve">0·14</w:t>
            </w:r>
          </w:p>
        </w:tc>
        <w:tc>
          <w:tcPr/>
          <w:p>
            <w:pPr>
              <w:pStyle w:val="Compact"/>
              <w:jc w:val="right"/>
            </w:pPr>
            <w:r>
              <w:t xml:space="preserve">0·06</w:t>
            </w:r>
          </w:p>
        </w:tc>
        <w:tc>
          <w:tcPr/>
          <w:p>
            <w:pPr>
              <w:pStyle w:val="Compact"/>
              <w:jc w:val="right"/>
            </w:pPr>
            <w:r>
              <w:t xml:space="preserve">0·05</w:t>
            </w:r>
          </w:p>
        </w:tc>
      </w:tr>
      <w:tr>
        <w:tc>
          <w:tcPr/>
          <w:p>
            <w:pPr>
              <w:pStyle w:val="Compact"/>
              <w:jc w:val="left"/>
            </w:pPr>
            <w:r>
              <w:t xml:space="preserve">GLP-1 total</w:t>
            </w:r>
          </w:p>
        </w:tc>
        <w:tc>
          <w:tcPr/>
          <w:p>
            <w:pPr>
              <w:pStyle w:val="Compact"/>
              <w:jc w:val="right"/>
            </w:pPr>
            <w:r>
              <w:t xml:space="preserve">0·02</w:t>
            </w:r>
          </w:p>
        </w:tc>
        <w:tc>
          <w:tcPr/>
          <w:p>
            <w:pPr>
              <w:pStyle w:val="Compact"/>
              <w:jc w:val="right"/>
            </w:pPr>
            <w:r>
              <w:t xml:space="preserve">0·11</w:t>
            </w:r>
          </w:p>
        </w:tc>
        <w:tc>
          <w:tcPr/>
          <w:p>
            <w:pPr>
              <w:pStyle w:val="Compact"/>
              <w:jc w:val="right"/>
            </w:pPr>
            <w:r>
              <w:t xml:space="preserve">0·08</w:t>
            </w:r>
          </w:p>
        </w:tc>
        <w:tc>
          <w:tcPr/>
          <w:p>
            <w:pPr>
              <w:pStyle w:val="Compact"/>
              <w:jc w:val="right"/>
            </w:pPr>
            <w:r>
              <w:t xml:space="preserve">0·07</w:t>
            </w:r>
          </w:p>
        </w:tc>
      </w:tr>
      <w:tr>
        <w:tc>
          <w:tcPr/>
          <w:p>
            <w:pPr>
              <w:pStyle w:val="Compact"/>
              <w:jc w:val="left"/>
            </w:pPr>
            <w:r>
              <w:t xml:space="preserve">PYY 3-36</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0·07</w:t>
            </w:r>
          </w:p>
        </w:tc>
        <w:tc>
          <w:tcPr/>
          <w:p>
            <w:pPr>
              <w:pStyle w:val="Compact"/>
              <w:jc w:val="right"/>
            </w:pPr>
            <w:r>
              <w:t xml:space="preserve">0·08</w:t>
            </w:r>
          </w:p>
        </w:tc>
      </w:tr>
      <w:tr>
        <w:tc>
          <w:tcPr/>
          <w:p>
            <w:pPr>
              <w:pStyle w:val="Compact"/>
              <w:jc w:val="left"/>
            </w:pPr>
            <w:r>
              <w:t xml:space="preserve">Ghrelin acyl</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0·31</w:t>
            </w:r>
          </w:p>
        </w:tc>
      </w:tr>
      <w:tr>
        <w:tc>
          <w:tcPr/>
          <w:p>
            <w:pPr>
              <w:pStyle w:val="Compact"/>
              <w:jc w:val="left"/>
            </w:pPr>
            <w:r>
              <w:t xml:space="preserve">Ghrelin total</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0·30</w:t>
            </w:r>
          </w:p>
        </w:tc>
      </w:tr>
      <w:tr>
        <w:tc>
          <w:tcPr/>
          <w:p>
            <w:pPr>
              <w:pStyle w:val="Compact"/>
              <w:jc w:val="left"/>
            </w:pPr>
            <w:r>
              <w:t xml:space="preserve">Glucagon</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0·60</w:t>
            </w:r>
          </w:p>
        </w:tc>
        <w:tc>
          <w:tcPr/>
          <w:p>
            <w:pPr>
              <w:pStyle w:val="Compact"/>
              <w:jc w:val="right"/>
            </w:pPr>
            <w:r>
              <w:t xml:space="preserve">0·07</w:t>
            </w:r>
          </w:p>
        </w:tc>
      </w:tr>
    </w:tbl>
    <w:p>
      <w:pPr>
        <w:pStyle w:val="BodyText"/>
      </w:pPr>
      <w:r>
        <w:t xml:space="preserve">Values are integrated squared L²-norms ‖ψ̂_m^{(j)}‖² normalised so that ∑_j ‖ψ̂_m^{(j)}‖² = 1 per component. Glucose and insulin loadings on Ψ̂_3 are reported at the per-analyte layer in companion paper A3.</w:t>
      </w:r>
    </w:p>
    <w:bookmarkEnd w:id="95"/>
    <w:bookmarkStart w:id="96" w:name="X87310eea65c5d799d2513890c5828e5003bac06"/>
    <w:p>
      <w:pPr>
        <w:pStyle w:val="Heading2"/>
      </w:pPr>
      <w:r>
        <w:t xml:space="preserve">Table 3 — Reference physiological signatures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Eigenfunction</w:t>
            </w:r>
          </w:p>
        </w:tc>
        <w:tc>
          <w:tcPr/>
          <w:p>
            <w:pPr>
              <w:pStyle w:val="Compact"/>
              <w:jc w:val="left"/>
            </w:pPr>
            <w:r>
              <w:t xml:space="preserve">Physiological reading</w:t>
            </w:r>
          </w:p>
        </w:tc>
        <w:tc>
          <w:tcPr/>
          <w:p>
            <w:pPr>
              <w:pStyle w:val="Compact"/>
              <w:jc w:val="left"/>
            </w:pPr>
            <w:r>
              <w:t xml:space="preserve">Anchoring references</w:t>
            </w:r>
          </w:p>
        </w:tc>
      </w:tr>
      <w:tr>
        <w:tc>
          <w:tcPr/>
          <w:p>
            <w:pPr>
              <w:pStyle w:val="Compact"/>
              <w:jc w:val="left"/>
            </w:pPr>
            <w:r>
              <w:t xml:space="preserve">Ψ̂_1 — distal L-cell dominance</w:t>
            </w:r>
          </w:p>
        </w:tc>
        <w:tc>
          <w:tcPr/>
          <w:p>
            <w:pPr>
              <w:pStyle w:val="Compact"/>
              <w:jc w:val="left"/>
            </w:pPr>
            <w:r>
              <w:t xml:space="preserve">PYY-dominant integrated amplitude axis; secondary integrated incretin contribution</w:t>
            </w:r>
          </w:p>
        </w:tc>
        <w:tc>
          <w:tcPr/>
          <w:p>
            <w:pPr>
              <w:pStyle w:val="Compact"/>
              <w:jc w:val="left"/>
            </w:pPr>
            <w:r>
              <w:t xml:space="preserve">le Roux 2006</w:t>
            </w:r>
            <w:r>
              <w:rPr>
                <w:vertAlign w:val="superscript"/>
              </w:rPr>
              <w:t xml:space="preserve">21</w:t>
            </w:r>
            <w:r>
              <w:t xml:space="preserve">; Madsbad 2014</w:t>
            </w:r>
            <w:r>
              <w:rPr>
                <w:vertAlign w:val="superscript"/>
              </w:rPr>
              <w:t xml:space="preserve">10</w:t>
            </w:r>
            <w:r>
              <w:t xml:space="preserve">; Steinert 2017</w:t>
            </w:r>
            <w:r>
              <w:rPr>
                <w:vertAlign w:val="superscript"/>
              </w:rPr>
              <w:t xml:space="preserve">8</w:t>
            </w:r>
            <w:r>
              <w:t xml:space="preserve">; Svane 2019</w:t>
            </w:r>
            <w:r>
              <w:rPr>
                <w:vertAlign w:val="superscript"/>
              </w:rPr>
              <w:t xml:space="preserve">22</w:t>
            </w:r>
          </w:p>
        </w:tc>
      </w:tr>
      <w:tr>
        <w:tc>
          <w:tcPr/>
          <w:p>
            <w:pPr>
              <w:pStyle w:val="Compact"/>
              <w:jc w:val="left"/>
            </w:pPr>
            <w:r>
              <w:t xml:space="preserve">Ψ̂_2 — proximal-vs-distal sequencing</w:t>
            </w:r>
          </w:p>
        </w:tc>
        <w:tc>
          <w:tcPr/>
          <w:p>
            <w:pPr>
              <w:pStyle w:val="Compact"/>
              <w:jc w:val="left"/>
            </w:pPr>
            <w:r>
              <w:t xml:space="preserve">Early-peak GIP active and insulin vs late-peak GLP-1 and PYY along the small-bowel anatomical gradient</w:t>
            </w:r>
          </w:p>
        </w:tc>
        <w:tc>
          <w:tcPr/>
          <w:p>
            <w:pPr>
              <w:pStyle w:val="Compact"/>
              <w:jc w:val="left"/>
            </w:pPr>
            <w:r>
              <w:t xml:space="preserve">Drucker 2018</w:t>
            </w:r>
            <w:r>
              <w:rPr>
                <w:vertAlign w:val="superscript"/>
              </w:rPr>
              <w:t xml:space="preserve">6</w:t>
            </w:r>
            <w:r>
              <w:t xml:space="preserve">; Holst 2007</w:t>
            </w:r>
            <w:r>
              <w:rPr>
                <w:vertAlign w:val="superscript"/>
              </w:rPr>
              <w:t xml:space="preserve">7</w:t>
            </w:r>
            <w:r>
              <w:t xml:space="preserve">; Steinert 2017</w:t>
            </w:r>
            <w:r>
              <w:rPr>
                <w:vertAlign w:val="superscript"/>
              </w:rPr>
              <w:t xml:space="preserve">8</w:t>
            </w:r>
          </w:p>
        </w:tc>
      </w:tr>
      <w:tr>
        <w:tc>
          <w:tcPr/>
          <w:p>
            <w:pPr>
              <w:pStyle w:val="Compact"/>
              <w:jc w:val="left"/>
            </w:pPr>
            <w:r>
              <w:t xml:space="preserve">Ψ̂_3 — biphasic glucose–insulin coupling</w:t>
            </w:r>
          </w:p>
        </w:tc>
        <w:tc>
          <w:tcPr/>
          <w:p>
            <w:pPr>
              <w:pStyle w:val="Compact"/>
              <w:jc w:val="left"/>
            </w:pPr>
            <w:r>
              <w:t xml:space="preserve">Phase-shifted glucose-and-insulin coupling axis; symmetric in brisk vs delayed coupling</w:t>
            </w:r>
          </w:p>
        </w:tc>
        <w:tc>
          <w:tcPr/>
          <w:p>
            <w:pPr>
              <w:pStyle w:val="Compact"/>
              <w:jc w:val="left"/>
            </w:pPr>
            <w:r>
              <w:t xml:space="preserve">Drucker 2018</w:t>
            </w:r>
            <w:r>
              <w:rPr>
                <w:vertAlign w:val="superscript"/>
              </w:rPr>
              <w:t xml:space="preserve">6</w:t>
            </w:r>
            <w:r>
              <w:t xml:space="preserve">; Nauck 1986</w:t>
            </w:r>
            <w:r>
              <w:rPr>
                <w:vertAlign w:val="superscript"/>
              </w:rPr>
              <w:t xml:space="preserve">9</w:t>
            </w:r>
          </w:p>
        </w:tc>
      </w:tr>
      <w:tr>
        <w:tc>
          <w:tcPr/>
          <w:p>
            <w:pPr>
              <w:pStyle w:val="Compact"/>
              <w:jc w:val="left"/>
            </w:pPr>
            <w:r>
              <w:t xml:space="preserve">Ψ̂_4 — ghrelin tone</w:t>
            </w:r>
          </w:p>
        </w:tc>
        <w:tc>
          <w:tcPr/>
          <w:p>
            <w:pPr>
              <w:pStyle w:val="Compact"/>
              <w:jc w:val="left"/>
            </w:pPr>
            <w:r>
              <w:t xml:space="preserve">Fasting tone vs postprandial suppression axis; sleeve-gastrectomy signature</w:t>
            </w:r>
          </w:p>
        </w:tc>
        <w:tc>
          <w:tcPr/>
          <w:p>
            <w:pPr>
              <w:pStyle w:val="Compact"/>
              <w:jc w:val="left"/>
            </w:pPr>
            <w:r>
              <w:t xml:space="preserve">Steinert 2017</w:t>
            </w:r>
            <w:r>
              <w:rPr>
                <w:vertAlign w:val="superscript"/>
              </w:rPr>
              <w:t xml:space="preserve">8</w:t>
            </w:r>
            <w:r>
              <w:t xml:space="preserve">; Camilleri 2024</w:t>
            </w:r>
            <w:r>
              <w:rPr>
                <w:vertAlign w:val="superscript"/>
              </w:rPr>
              <w:t xml:space="preserve">11</w:t>
            </w:r>
            <w:r>
              <w:t xml:space="preserve">; le Roux 2006</w:t>
            </w:r>
            <w:r>
              <w:rPr>
                <w:vertAlign w:val="superscript"/>
              </w:rPr>
              <w:t xml:space="preserve">21</w:t>
            </w:r>
            <w:r>
              <w:t xml:space="preserve">; Svane 2019</w:t>
            </w:r>
            <w:r>
              <w:rPr>
                <w:vertAlign w:val="superscript"/>
              </w:rPr>
              <w:t xml:space="preserve">22</w:t>
            </w:r>
          </w:p>
        </w:tc>
      </w:tr>
    </w:tbl>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doi.org/10.1007/BF02427280" TargetMode="External" /><Relationship Type="http://schemas.openxmlformats.org/officeDocument/2006/relationships/hyperlink" Id="rId58" Target="https://doi.org/10.1016/S2213-8587(13)70218-3" TargetMode="External" /><Relationship Type="http://schemas.openxmlformats.org/officeDocument/2006/relationships/hyperlink" Id="rId41" Target="https://doi.org/10.1016/S2213-8587(18)30051-2" TargetMode="External" /><Relationship Type="http://schemas.openxmlformats.org/officeDocument/2006/relationships/hyperlink" Id="rId86" Target="https://doi.org/10.1016/S2213-8587(22)00085-7" TargetMode="External" /><Relationship Type="http://schemas.openxmlformats.org/officeDocument/2006/relationships/hyperlink" Id="rId67" Target="https://doi.org/10.1016/S2213-8587(24)00316-4" TargetMode="External" /><Relationship Type="http://schemas.openxmlformats.org/officeDocument/2006/relationships/hyperlink" Id="rId50" Target="https://doi.org/10.1016/j.cmet.2018.03.001" TargetMode="External" /><Relationship Type="http://schemas.openxmlformats.org/officeDocument/2006/relationships/hyperlink" Id="rId73" Target="https://doi.org/10.1016/j.csda.2012.12.001" TargetMode="External" /><Relationship Type="http://schemas.openxmlformats.org/officeDocument/2006/relationships/hyperlink" Id="rId48" Target="https://doi.org/10.1016/j.diabres.2018.05.014" TargetMode="External" /><Relationship Type="http://schemas.openxmlformats.org/officeDocument/2006/relationships/hyperlink" Id="rId80" Target="https://doi.org/10.1038/s41591-020-0934-0" TargetMode="External" /><Relationship Type="http://schemas.openxmlformats.org/officeDocument/2006/relationships/hyperlink" Id="rId45" Target="https://doi.org/10.1038/s41591-020-1116-9" TargetMode="External" /><Relationship Type="http://schemas.openxmlformats.org/officeDocument/2006/relationships/hyperlink" Id="rId84" Target="https://doi.org/10.1056/NEJMoa2107519" TargetMode="External" /><Relationship Type="http://schemas.openxmlformats.org/officeDocument/2006/relationships/hyperlink" Id="rId88" Target="https://doi.org/10.1056/NEJMoa2301972" TargetMode="External" /><Relationship Type="http://schemas.openxmlformats.org/officeDocument/2006/relationships/hyperlink" Id="rId61" Target="https://doi.org/10.1080/01621459.2016.1273115" TargetMode="External" /><Relationship Type="http://schemas.openxmlformats.org/officeDocument/2006/relationships/hyperlink" Id="rId75" Target="https://doi.org/10.1097/01.sla.0000183349.16877.84" TargetMode="External" /><Relationship Type="http://schemas.openxmlformats.org/officeDocument/2006/relationships/hyperlink" Id="rId54" Target="https://doi.org/10.1152/physrev.00031.2014" TargetMode="External" /><Relationship Type="http://schemas.openxmlformats.org/officeDocument/2006/relationships/hyperlink" Id="rId52" Target="https://doi.org/10.1152/physrev.00034.2006" TargetMode="External" /><Relationship Type="http://schemas.openxmlformats.org/officeDocument/2006/relationships/hyperlink" Id="rId65" Target="https://doi.org/10.1210/jc.2007-2851" TargetMode="External" /><Relationship Type="http://schemas.openxmlformats.org/officeDocument/2006/relationships/hyperlink" Id="rId78" Target="https://doi.org/10.1210/jc.2013-2686" TargetMode="External" /><Relationship Type="http://schemas.openxmlformats.org/officeDocument/2006/relationships/hyperlink" Id="rId82" Target="https://doi.org/10.1371/journal.pbio.2005143" TargetMode="External" /><Relationship Type="http://schemas.openxmlformats.org/officeDocument/2006/relationships/hyperlink" Id="rId43" Target="https://doi.org/10.1371/journal.pmed.1002654" TargetMode="External" /><Relationship Type="http://schemas.openxmlformats.org/officeDocument/2006/relationships/hyperlink" Id="rId63" Target="https://doi.org/10.5705/ss.2013.305"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BF02427280" TargetMode="External" /><Relationship Type="http://schemas.openxmlformats.org/officeDocument/2006/relationships/hyperlink" Id="rId58" Target="https://doi.org/10.1016/S2213-8587(13)70218-3" TargetMode="External" /><Relationship Type="http://schemas.openxmlformats.org/officeDocument/2006/relationships/hyperlink" Id="rId41" Target="https://doi.org/10.1016/S2213-8587(18)30051-2" TargetMode="External" /><Relationship Type="http://schemas.openxmlformats.org/officeDocument/2006/relationships/hyperlink" Id="rId86" Target="https://doi.org/10.1016/S2213-8587(22)00085-7" TargetMode="External" /><Relationship Type="http://schemas.openxmlformats.org/officeDocument/2006/relationships/hyperlink" Id="rId67" Target="https://doi.org/10.1016/S2213-8587(24)00316-4" TargetMode="External" /><Relationship Type="http://schemas.openxmlformats.org/officeDocument/2006/relationships/hyperlink" Id="rId50" Target="https://doi.org/10.1016/j.cmet.2018.03.001" TargetMode="External" /><Relationship Type="http://schemas.openxmlformats.org/officeDocument/2006/relationships/hyperlink" Id="rId73" Target="https://doi.org/10.1016/j.csda.2012.12.001" TargetMode="External" /><Relationship Type="http://schemas.openxmlformats.org/officeDocument/2006/relationships/hyperlink" Id="rId48" Target="https://doi.org/10.1016/j.diabres.2018.05.014" TargetMode="External" /><Relationship Type="http://schemas.openxmlformats.org/officeDocument/2006/relationships/hyperlink" Id="rId80" Target="https://doi.org/10.1038/s41591-020-0934-0" TargetMode="External" /><Relationship Type="http://schemas.openxmlformats.org/officeDocument/2006/relationships/hyperlink" Id="rId45" Target="https://doi.org/10.1038/s41591-020-1116-9" TargetMode="External" /><Relationship Type="http://schemas.openxmlformats.org/officeDocument/2006/relationships/hyperlink" Id="rId84" Target="https://doi.org/10.1056/NEJMoa2107519" TargetMode="External" /><Relationship Type="http://schemas.openxmlformats.org/officeDocument/2006/relationships/hyperlink" Id="rId88" Target="https://doi.org/10.1056/NEJMoa2301972" TargetMode="External" /><Relationship Type="http://schemas.openxmlformats.org/officeDocument/2006/relationships/hyperlink" Id="rId61" Target="https://doi.org/10.1080/01621459.2016.1273115" TargetMode="External" /><Relationship Type="http://schemas.openxmlformats.org/officeDocument/2006/relationships/hyperlink" Id="rId75" Target="https://doi.org/10.1097/01.sla.0000183349.16877.84" TargetMode="External" /><Relationship Type="http://schemas.openxmlformats.org/officeDocument/2006/relationships/hyperlink" Id="rId54" Target="https://doi.org/10.1152/physrev.00031.2014" TargetMode="External" /><Relationship Type="http://schemas.openxmlformats.org/officeDocument/2006/relationships/hyperlink" Id="rId52" Target="https://doi.org/10.1152/physrev.00034.2006" TargetMode="External" /><Relationship Type="http://schemas.openxmlformats.org/officeDocument/2006/relationships/hyperlink" Id="rId65" Target="https://doi.org/10.1210/jc.2007-2851" TargetMode="External" /><Relationship Type="http://schemas.openxmlformats.org/officeDocument/2006/relationships/hyperlink" Id="rId78" Target="https://doi.org/10.1210/jc.2013-2686" TargetMode="External" /><Relationship Type="http://schemas.openxmlformats.org/officeDocument/2006/relationships/hyperlink" Id="rId82" Target="https://doi.org/10.1371/journal.pbio.2005143" TargetMode="External" /><Relationship Type="http://schemas.openxmlformats.org/officeDocument/2006/relationships/hyperlink" Id="rId43" Target="https://doi.org/10.1371/journal.pmed.1002654" TargetMode="External" /><Relationship Type="http://schemas.openxmlformats.org/officeDocument/2006/relationships/hyperlink" Id="rId63" Target="https://doi.org/10.5705/ss.2013.3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functional principal component eigenfunctions of the entero-pancreatic system: conceptual and physiological foundations of the FDEP-TP framework for periprandial phenotype characterisation</dc:title>
  <dc:creator>Héctor M. Virgen-Ayala</dc:creator>
  <cp:keywords/>
  <dcterms:created xsi:type="dcterms:W3CDTF">2026-05-10T04:01:12Z</dcterms:created>
  <dcterms:modified xsi:type="dcterms:W3CDTF">2026-05-10T04:01:12Z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refs_A1.bib</vt:lpwstr>
  </property>
  <property fmtid="{D5CDD505-2E9C-101B-9397-08002B2CF9AE}" pid="6" name="by-affiliation">
    <vt:lpwstr/>
  </property>
  <property fmtid="{D5CDD505-2E9C-101B-9397-08002B2CF9AE}" pid="7" name="by-author">
    <vt:lpwstr/>
  </property>
  <property fmtid="{D5CDD505-2E9C-101B-9397-08002B2CF9AE}" pid="8" name="csl">
    <vt:lpwstr>../lancet.csl</vt:lpwstr>
  </property>
  <property fmtid="{D5CDD505-2E9C-101B-9397-08002B2CF9AE}" pid="9" name="date">
    <vt:lpwstr>2026-05-09</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Lancet Diabetes &amp; Endocrinology — Article (Original Research)</vt:lpwstr>
  </property>
  <property fmtid="{D5CDD505-2E9C-101B-9397-08002B2CF9AE}" pid="16" name="toc-title">
    <vt:lpwstr>Table of contents</vt:lpwstr>
  </property>
</Properties>
</file>