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9848c104d7217b6129332d498d62a20159c5c32"/>
    <w:p>
      <w:pPr>
        <w:pStyle w:val="Heading1"/>
      </w:pPr>
      <w:r>
        <w:t xml:space="preserve">Cover letter — Article A1 submission to</w:t>
      </w:r>
      <w:r>
        <w:t xml:space="preserve"> </w:t>
      </w:r>
      <w:r>
        <w:rPr>
          <w:i/>
          <w:iCs/>
        </w:rPr>
        <w:t xml:space="preserve">The Lancet Diabetes &amp; Endocrinology</w:t>
      </w:r>
    </w:p>
    <w:p>
      <w:pPr>
        <w:pStyle w:val="FirstParagraph"/>
      </w:pPr>
      <w:r>
        <w:rPr>
          <w:b/>
          <w:bCs/>
        </w:rPr>
        <w:t xml:space="preserve">Date.</w:t>
      </w:r>
      <w:r>
        <w:t xml:space="preserve"> </w:t>
      </w:r>
      <w:r>
        <w:t xml:space="preserve">2026-05-09</w:t>
      </w:r>
      <w:r>
        <w:br/>
      </w:r>
      <w:r>
        <w:rPr>
          <w:b/>
          <w:bCs/>
        </w:rPr>
        <w:t xml:space="preserve">Author.</w:t>
      </w:r>
      <w:r>
        <w:t xml:space="preserve"> </w:t>
      </w:r>
      <w:r>
        <w:t xml:space="preserve">Dr. Héctor M. Virgen-Ayala, MD PhD · ORCID 0009-0006-2081-2286 · Universidad de Guadalajara / Instituto Mexicano del Seguro Social, Guadalajara, Mexico · hectorvirgenmd@gmail.com</w:t>
      </w:r>
    </w:p>
    <w:p>
      <w:pPr>
        <w:pStyle w:val="BodyText"/>
      </w:pPr>
      <w:r>
        <w:rPr>
          <w:b/>
          <w:bCs/>
        </w:rPr>
        <w:t xml:space="preserve">To.</w:t>
      </w:r>
      <w:r>
        <w:t xml:space="preserve"> </w:t>
      </w:r>
      <w:r>
        <w:t xml:space="preserve">The Editors,</w:t>
      </w:r>
      <w:r>
        <w:t xml:space="preserve"> </w:t>
      </w:r>
      <w:r>
        <w:rPr>
          <w:i/>
          <w:iCs/>
        </w:rPr>
        <w:t xml:space="preserve">The Lancet Diabetes &amp; Endocrinology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Editors,</w:t>
      </w:r>
    </w:p>
    <w:p>
      <w:pPr>
        <w:pStyle w:val="BodyText"/>
      </w:pPr>
      <w:r>
        <w:t xml:space="preserve">I am pleased to submit</w:t>
      </w:r>
      <w:r>
        <w:t xml:space="preserve"> </w:t>
      </w:r>
      <w:r>
        <w:rPr>
          <w:i/>
          <w:iCs/>
        </w:rPr>
        <w:t xml:space="preserve">Multivariate functional principal component eigenfunctions of the entero-pancreatic system: conceptual and physiological foundations of the FDEP-TP framework for periprandial phenotype characterisation</w:t>
      </w:r>
      <w:r>
        <w:t xml:space="preserve"> </w:t>
      </w:r>
      <w:r>
        <w:t xml:space="preserve">as an Original Research Article for consideration in</w:t>
      </w:r>
      <w:r>
        <w:t xml:space="preserve"> </w:t>
      </w:r>
      <w:r>
        <w:rPr>
          <w:i/>
          <w:iCs/>
        </w:rPr>
        <w:t xml:space="preserve">The Lancet Diabetes &amp; Endocrinology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Physiological gap.</w:t>
      </w:r>
      <w:r>
        <w:t xml:space="preserve"> </w:t>
      </w:r>
      <w:r>
        <w:t xml:space="preserve">The entero-pancreatic axis behaves as a coupled secretion–inhibition oscillator on the periprandial transition. Distal L-cells, proximal K-cells, pancreatic islets, and gastric ghrelin sources have each been described in isolation, yet the joint geometry that couples them across the periprandial window has not been decomposed into its eigen-axes. The Ahlqvist, Udler, and Tübingen taxonomies classify individuals using static cross-sectional features and discard the temporal geometry of the periprandial response.</w:t>
      </w:r>
    </w:p>
    <w:p>
      <w:pPr>
        <w:pStyle w:val="BodyText"/>
      </w:pPr>
      <w:r>
        <w:rPr>
          <w:b/>
          <w:bCs/>
        </w:rPr>
        <w:t xml:space="preserve">Lancet D&amp;E precedent.</w:t>
      </w:r>
      <w:r>
        <w:t xml:space="preserve"> </w:t>
      </w:r>
      <w:r>
        <w:t xml:space="preserve">Madsbad’s 2014 mechanism review (Lancet D&amp;E 2:152) and the 2025 clinical-obesity commission (Rubino et al. 13:221) articulate a journal tradition of mechanism-to-algorithm translation that the present article extends to the joint multi-hormonal panel.</w:t>
      </w:r>
    </w:p>
    <w:p>
      <w:pPr>
        <w:pStyle w:val="BodyText"/>
      </w:pPr>
      <w:r>
        <w:rPr>
          <w:b/>
          <w:bCs/>
        </w:rPr>
        <w:t xml:space="preserve">Contribution.</w:t>
      </w:r>
      <w:r>
        <w:t xml:space="preserve"> </w:t>
      </w:r>
      <w:r>
        <w:t xml:space="preserve">We interpret the four leading mFPC eigenfunctions of the joint enteropancreatic operator in physiological terms. From a pre-registered ecological corpus of 23 studies and 2,750 pseudo-subjects, the joint Happ–Greven operator retained K=12 components (Golovkine 2025 multivariate-FVE ≥ 0·90; cumulative 92 %; N/K=29·2). The first eigenfunction is</w:t>
      </w:r>
      <w:r>
        <w:t xml:space="preserve"> </w:t>
      </w:r>
      <w:r>
        <w:rPr>
          <w:b/>
          <w:bCs/>
        </w:rPr>
        <w:t xml:space="preserve">PYY-dominant</w:t>
      </w:r>
      <w:r>
        <w:t xml:space="preserve"> </w:t>
      </w:r>
      <w:r>
        <w:t xml:space="preserve">(‖·‖² = 0·762) with secondary integrated incretin contribution 0·211 — capturing distal L-cell variation rather than incretin-amplitude contrast. The second recovers</w:t>
      </w:r>
      <w:r>
        <w:t xml:space="preserve"> </w:t>
      </w:r>
      <w:r>
        <w:rPr>
          <w:b/>
          <w:bCs/>
        </w:rPr>
        <w:t xml:space="preserve">proximal-versus-distal entero-endocrine sequencing</w:t>
      </w:r>
      <w:r>
        <w:t xml:space="preserve"> </w:t>
      </w:r>
      <w:r>
        <w:t xml:space="preserve">along the small bowel as a continuous geometric axis. The third captures</w:t>
      </w:r>
      <w:r>
        <w:t xml:space="preserve"> </w:t>
      </w:r>
      <w:r>
        <w:rPr>
          <w:b/>
          <w:bCs/>
        </w:rPr>
        <w:t xml:space="preserve">biphasic glucose–insulin coupling</w:t>
      </w:r>
      <w:r>
        <w:t xml:space="preserve">; the fourth,</w:t>
      </w:r>
      <w:r>
        <w:t xml:space="preserve"> </w:t>
      </w:r>
      <w:r>
        <w:rPr>
          <w:b/>
          <w:bCs/>
        </w:rPr>
        <w:t xml:space="preserve">ghrelin tone</w:t>
      </w:r>
      <w:r>
        <w:t xml:space="preserve">, with a distinctive sleeve-gastrectomy signature. Persistent dysphysiological signalling — not uniform normalisation — characterises post-bariatric and post-caloric-restriction states on the four-axis decomposition.</w:t>
      </w:r>
    </w:p>
    <w:p>
      <w:pPr>
        <w:pStyle w:val="BodyText"/>
      </w:pPr>
      <w:r>
        <w:rPr>
          <w:b/>
          <w:bCs/>
        </w:rPr>
        <w:t xml:space="preserve">Trilogy position.</w:t>
      </w:r>
      <w:r>
        <w:t xml:space="preserve"> </w:t>
      </w:r>
      <w:r>
        <w:t xml:space="preserve">Companion paper A2 (branch</w:t>
      </w:r>
      <w:r>
        <w:t xml:space="preserve"> </w:t>
      </w:r>
      <w:r>
        <w:rPr>
          <w:rStyle w:val="VerbatimChar"/>
        </w:rPr>
        <w:t xml:space="preserve">lancet-A2-mathematical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A2-submitted-2026-05-09</w:t>
      </w:r>
      <w:r>
        <w:t xml:space="preserve">) supplies the mathematical and statistical layer; A3 supplies the procedural and translational layer. Primary findings do not overlap.</w:t>
      </w:r>
    </w:p>
    <w:p>
      <w:pPr>
        <w:pStyle w:val="BodyText"/>
      </w:pPr>
      <w:r>
        <w:rPr>
          <w:b/>
          <w:bCs/>
        </w:rPr>
        <w:t xml:space="preserve">Reproducibility.</w:t>
      </w:r>
      <w:r>
        <w:t xml:space="preserve"> </w:t>
      </w:r>
      <w:r>
        <w:t xml:space="preserve">The 16-script pipeline plus</w:t>
      </w:r>
      <w:r>
        <w:t xml:space="preserve"> </w:t>
      </w:r>
      <w:r>
        <w:rPr>
          <w:rStyle w:val="VerbatimChar"/>
        </w:rPr>
        <w:t xml:space="preserve">10_A1_conceptual_figs.R</w:t>
      </w:r>
      <w:r>
        <w:t xml:space="preserve">, the harmonised input file (SHA-256</w:t>
      </w:r>
      <w:r>
        <w:t xml:space="preserve"> </w:t>
      </w:r>
      <w:r>
        <w:rPr>
          <w:rStyle w:val="VerbatimChar"/>
        </w:rPr>
        <w:t xml:space="preserve">2829cd78…9704a117</w:t>
      </w:r>
      <w:r>
        <w:t xml:space="preserve">), and all outputs are deposited at Zenodo (concept DOI 10.5281/zenodo.19743544) and on GitHub (</w:t>
      </w:r>
      <w:r>
        <w:rPr>
          <w:rStyle w:val="VerbatimChar"/>
        </w:rPr>
        <w:t xml:space="preserve">sv8wmxnbp8-hash/EPP10</w:t>
      </w:r>
      <w:r>
        <w:t xml:space="preserve"> </w:t>
      </w:r>
      <w:r>
        <w:t xml:space="preserve">v1·3) under CC-BY 4·0. Pre-registration: OSF DOI 10.17605/OSF.IO/3CZRE (frozen 2026-04-22).</w:t>
      </w:r>
    </w:p>
    <w:p>
      <w:pPr>
        <w:pStyle w:val="BodyText"/>
      </w:pPr>
      <w:r>
        <w:rPr>
          <w:b/>
          <w:bCs/>
        </w:rPr>
        <w:t xml:space="preserve">Suggested reviewers.</w:t>
      </w:r>
      <w:r>
        <w:t xml:space="preserve"> </w:t>
      </w:r>
      <w:r>
        <w:t xml:space="preserve">Daniel J. Drucker (Toronto) — incretin biology; Jens J. Holst (Copenhagen) — GLP-1 physiology; Robert E. Steinert (Adelaide / Zurich) — Y-receptor and ghrelin physiology; Sten Madsbad (Hvidovre) — bariatric mechanism; Michael A. Nauck (Bochum) — incretin defect in T2DM.</w:t>
      </w:r>
    </w:p>
    <w:p>
      <w:pPr>
        <w:pStyle w:val="BodyText"/>
      </w:pPr>
      <w:r>
        <w:rPr>
          <w:b/>
          <w:bCs/>
        </w:rPr>
        <w:t xml:space="preserve">Excluded reviewers.</w:t>
      </w:r>
      <w:r>
        <w:t xml:space="preserve"> </w:t>
      </w:r>
      <w:r>
        <w:t xml:space="preserve">None. The author declares no competing interests, no industry support, and no funding for this work.</w:t>
      </w:r>
    </w:p>
    <w:p>
      <w:pPr>
        <w:pStyle w:val="BodyText"/>
      </w:pPr>
      <w:r>
        <w:rPr>
          <w:b/>
          <w:bCs/>
        </w:rPr>
        <w:t xml:space="preserve">Prior publication.</w:t>
      </w:r>
      <w:r>
        <w:t xml:space="preserve"> </w:t>
      </w:r>
      <w:r>
        <w:t xml:space="preserve">No part of this work has been published or is under consideration elsewhere. The empirical corpus has been used in companion submissions A2 (already submitted) and A3 (forthcoming) with non-overlapping primary findings.</w:t>
      </w:r>
    </w:p>
    <w:p>
      <w:pPr>
        <w:pStyle w:val="BodyText"/>
      </w:pPr>
      <w:r>
        <w:t xml:space="preserve">I look forward to the editors’ consideration.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rPr>
          <w:b/>
          <w:bCs/>
        </w:rPr>
        <w:t xml:space="preserve">Dr. Héctor M. Virgen-Ayala, MD PhD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2026-05-10T00:12:17Z</dcterms:created>
  <dcterms:modified xsi:type="dcterms:W3CDTF">2026-05-10T00:12:17Z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