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C0" w:rsidRPr="002879E2" w:rsidRDefault="001675C0" w:rsidP="00381795">
      <w:pPr>
        <w:pStyle w:val="WW-Textoindependiente3"/>
        <w:rPr>
          <w:sz w:val="20"/>
        </w:rPr>
      </w:pPr>
      <w:r w:rsidRPr="002879E2">
        <w:rPr>
          <w:sz w:val="20"/>
        </w:rPr>
        <w:t>En Bogotá D.C., a los</w:t>
      </w:r>
      <w:r w:rsidRPr="002879E2">
        <w:rPr>
          <w:b/>
          <w:bCs/>
          <w:sz w:val="20"/>
        </w:rPr>
        <w:t xml:space="preserve"> </w:t>
      </w:r>
      <w:r w:rsidR="00016461">
        <w:rPr>
          <w:b/>
          <w:sz w:val="22"/>
          <w:szCs w:val="22"/>
        </w:rPr>
        <w:t>UN 01 día(s) del mes de Julio del 2020, siendo las 13:50, </w:t>
      </w:r>
      <w:r w:rsidR="00016461" w:rsidRPr="00F25FE0">
        <w:rPr>
          <w:sz w:val="22"/>
          <w:szCs w:val="22"/>
        </w:rPr>
        <w:t>fecha y hora señaladas</w:t>
      </w:r>
      <w:r w:rsidRPr="002879E2">
        <w:rPr>
          <w:b/>
          <w:bCs/>
          <w:sz w:val="20"/>
        </w:rPr>
        <w:t>,</w:t>
      </w:r>
      <w:r w:rsidRPr="002879E2">
        <w:rPr>
          <w:sz w:val="20"/>
        </w:rPr>
        <w:t xml:space="preserve"> comparecieron al Centro de Conciliación de la Personería de Bogotá, D.C.</w:t>
      </w:r>
      <w:r w:rsidR="00195A33">
        <w:rPr>
          <w:sz w:val="20"/>
        </w:rPr>
        <w:t xml:space="preserve"> </w:t>
      </w:r>
      <w:r w:rsidR="00195A33" w:rsidRPr="00F25FE0">
        <w:rPr>
          <w:sz w:val="22"/>
          <w:szCs w:val="22"/>
        </w:rPr>
        <w:t xml:space="preserve">sede </w:t>
      </w:r>
      <w:r w:rsidR="00195A33">
        <w:rPr>
          <w:b/>
          <w:bCs/>
          <w:sz w:val="22"/>
          <w:szCs w:val="22"/>
        </w:rPr>
        <w:t>CENTRO</w:t>
      </w:r>
      <w:r w:rsidR="00195A33" w:rsidRPr="00F25FE0">
        <w:rPr>
          <w:b/>
          <w:bCs/>
          <w:sz w:val="22"/>
          <w:szCs w:val="22"/>
        </w:rPr>
        <w:t>,</w:t>
      </w:r>
      <w:r w:rsidRPr="002879E2">
        <w:rPr>
          <w:sz w:val="20"/>
        </w:rPr>
        <w:t xml:space="preserve"> autorizado por Resolución 2449 del 24 de </w:t>
      </w:r>
      <w:r w:rsidR="006E0789" w:rsidRPr="002879E2">
        <w:rPr>
          <w:sz w:val="20"/>
        </w:rPr>
        <w:t xml:space="preserve">Diciembre </w:t>
      </w:r>
      <w:r w:rsidRPr="002879E2">
        <w:rPr>
          <w:sz w:val="20"/>
        </w:rPr>
        <w:t xml:space="preserve">de 2003 del Ministerio del Interior y de Justicia, en uso de sus facultades legales y constitucionales, en especial de las conferidas por los Artículos 91 y 113 de la Ley 446 de 1998 y 1º de la Resolución No. 0018 de 2003, </w:t>
      </w:r>
      <w:r w:rsidR="00165D25" w:rsidRPr="0007378D">
        <w:rPr>
          <w:b/>
          <w:color w:val="000000"/>
          <w:sz w:val="22"/>
          <w:szCs w:val="16"/>
        </w:rPr>
        <w:t/>
      </w:r>
      <w:r w:rsidR="004E7E64" w:rsidRPr="004E7E64">
        <w:rPr>
          <w:sz w:val="22"/>
          <w:szCs w:val="22"/>
        </w:rPr>
        <w:t>,</w:t>
      </w:r>
      <w:r w:rsidR="00765247">
        <w:rPr>
          <w:b/>
          <w:bCs/>
          <w:sz w:val="20"/>
        </w:rPr>
        <w:t xml:space="preserve"> </w:t>
      </w:r>
      <w:r w:rsidR="00702239" w:rsidRPr="002879E2">
        <w:rPr>
          <w:sz w:val="20"/>
        </w:rPr>
        <w:t xml:space="preserve">como parte </w:t>
      </w:r>
      <w:proofErr w:type="spellStart"/>
      <w:r w:rsidR="00702239" w:rsidRPr="002879E2">
        <w:rPr>
          <w:sz w:val="20"/>
        </w:rPr>
        <w:t>C</w:t>
      </w:r>
      <w:r w:rsidR="006E0789" w:rsidRPr="002879E2">
        <w:rPr>
          <w:sz w:val="20"/>
        </w:rPr>
        <w:t>itante</w:t>
      </w:r>
      <w:proofErr w:type="spellEnd"/>
      <w:r w:rsidR="006E0789" w:rsidRPr="002879E2">
        <w:rPr>
          <w:sz w:val="20"/>
        </w:rPr>
        <w:t xml:space="preserve">, </w:t>
      </w:r>
      <w:r w:rsidR="00165D25">
        <w:rPr>
          <w:b/>
          <w:color w:val="000000"/>
          <w:sz w:val="22"/>
          <w:szCs w:val="16"/>
        </w:rPr>
        <w:t> ANDRES  CASTELLANOS  identificad(@) con CÉDULA DE CIUDADANÍA 1010213817 DE BOGOTA,</w:t>
      </w:r>
      <w:r w:rsidRPr="002879E2">
        <w:rPr>
          <w:sz w:val="20"/>
        </w:rPr>
        <w:t xml:space="preserve">, como </w:t>
      </w:r>
      <w:r w:rsidR="00702239" w:rsidRPr="002879E2">
        <w:rPr>
          <w:sz w:val="20"/>
        </w:rPr>
        <w:t>parte C</w:t>
      </w:r>
      <w:r w:rsidRPr="002879E2">
        <w:rPr>
          <w:sz w:val="20"/>
        </w:rPr>
        <w:t>itad</w:t>
      </w:r>
      <w:r w:rsidR="00702239" w:rsidRPr="002879E2">
        <w:rPr>
          <w:sz w:val="20"/>
        </w:rPr>
        <w:t>a,</w:t>
      </w:r>
      <w:r w:rsidRPr="002879E2">
        <w:rPr>
          <w:sz w:val="20"/>
        </w:rPr>
        <w:t xml:space="preserve"> actuando como Conciliador la doctora</w:t>
      </w:r>
      <w:r w:rsidRPr="002879E2">
        <w:rPr>
          <w:b/>
          <w:bCs/>
          <w:sz w:val="20"/>
        </w:rPr>
        <w:t xml:space="preserve"> </w:t>
      </w:r>
      <w:r w:rsidR="00165D25">
        <w:rPr>
          <w:b/>
          <w:bCs/>
          <w:sz w:val="22"/>
          <w:szCs w:val="22"/>
        </w:rPr>
        <w:t>JOSÉ LUIS BARRETO INFANTE</w:t>
      </w:r>
      <w:r w:rsidR="00165D25" w:rsidRPr="00F25FE0">
        <w:rPr>
          <w:sz w:val="22"/>
          <w:szCs w:val="22"/>
        </w:rPr>
        <w:t xml:space="preserve">, </w:t>
      </w:r>
      <w:r w:rsidRPr="002879E2">
        <w:rPr>
          <w:sz w:val="20"/>
        </w:rPr>
        <w:t xml:space="preserve"> constituyéndose en audiencia a fin de dirimir el asunto materia de la misma. Las partes manifiestan que no laboran en la Personería de Bogotá D.C., todo ello en virtud del pacto por la transparencia.</w:t>
      </w:r>
      <w:r w:rsidR="00381795" w:rsidRPr="002879E2">
        <w:rPr>
          <w:sz w:val="20"/>
        </w:rPr>
        <w:t xml:space="preserve"> </w:t>
      </w:r>
      <w:r w:rsidRPr="002879E2">
        <w:rPr>
          <w:sz w:val="20"/>
        </w:rPr>
        <w:t>Acto seguido se dio comienzo a la diligencia así:</w:t>
      </w:r>
    </w:p>
    <w:p w:rsidR="001675C0" w:rsidRPr="002879E2" w:rsidRDefault="001675C0">
      <w:pPr>
        <w:jc w:val="both"/>
        <w:rPr>
          <w:rFonts w:ascii="Arial" w:hAnsi="Arial" w:cs="Arial"/>
          <w:sz w:val="20"/>
        </w:rPr>
      </w:pPr>
    </w:p>
    <w:p w:rsidR="001675C0" w:rsidRPr="002879E2" w:rsidRDefault="001675C0">
      <w:pPr>
        <w:pStyle w:val="Ttulo3"/>
        <w:numPr>
          <w:ilvl w:val="2"/>
          <w:numId w:val="2"/>
        </w:numPr>
        <w:tabs>
          <w:tab w:val="left" w:pos="0"/>
        </w:tabs>
        <w:rPr>
          <w:sz w:val="20"/>
        </w:rPr>
      </w:pPr>
      <w:r w:rsidRPr="002879E2">
        <w:rPr>
          <w:sz w:val="20"/>
        </w:rPr>
        <w:t>RESUMEN DE LOS HECHOS</w:t>
      </w:r>
    </w:p>
    <w:p w:rsidR="001675C0" w:rsidRPr="002879E2" w:rsidRDefault="001675C0">
      <w:pPr>
        <w:jc w:val="center"/>
        <w:rPr>
          <w:rFonts w:ascii="Arial" w:hAnsi="Arial" w:cs="Arial"/>
          <w:sz w:val="20"/>
        </w:rPr>
      </w:pPr>
    </w:p>
    <w:p w:rsidR="004D77A4" w:rsidRDefault="00165D25">
      <w:pPr>
        <w:jc w:val="both"/>
        <w:rPr>
          <w:i/>
          <w:iCs/>
          <w:sz w:val="22"/>
        </w:rPr>
      </w:pPr>
      <w:r w:rsidRPr="00165D25">
        <w:rPr>
          <w:b/>
          <w:color w:val="000000"/>
          <w:szCs w:val="16"/>
        </w:rPr>
        <w:t/>
      </w:r>
      <w:r w:rsidRPr="00165D25">
        <w:rPr>
          <w:sz w:val="28"/>
        </w:rPr>
        <w:t xml:space="preserve">. </w:t>
      </w:r>
      <w:r w:rsidRPr="00165D25">
        <w:rPr>
          <w:sz w:val="22"/>
        </w:rPr>
        <w:t>Manifiesta lo siguiente</w:t>
      </w:r>
      <w:r w:rsidR="001675C0" w:rsidRPr="00165D25">
        <w:rPr>
          <w:i/>
          <w:iCs/>
          <w:sz w:val="22"/>
        </w:rPr>
        <w:t xml:space="preserve"> con el fin de</w:t>
      </w:r>
      <w:r>
        <w:rPr>
          <w:i/>
          <w:iCs/>
          <w:sz w:val="22"/>
        </w:rPr>
        <w:t>:</w:t>
      </w:r>
    </w:p>
    <w:p w:rsidR="001675C0" w:rsidRPr="00165D25" w:rsidRDefault="004E7E64">
      <w:pPr>
        <w:jc w:val="both"/>
        <w:rPr>
          <w:i/>
          <w:iCs/>
          <w:sz w:val="22"/>
        </w:rPr>
      </w:pPr>
      <w:r w:rsidRPr="00165D25">
        <w:rPr>
          <w:i/>
          <w:sz w:val="22"/>
        </w:rPr>
        <w:t xml:space="preserve"> </w:t>
      </w:r>
      <w:r w:rsidR="00165D25" w:rsidRPr="00165D25">
        <w:rPr>
          <w:i/>
          <w:sz w:val="22"/>
        </w:rPr>
        <w:t>“</w:t>
      </w:r>
      <w:r w:rsidR="004D77A4">
        <w:rPr>
          <w:i/>
          <w:sz w:val="22"/>
        </w:rPr>
        <w:t>AAAAAAAAAAAAAAAAAAAAA</w:t>
      </w:r>
      <w:r w:rsidR="00165D25" w:rsidRPr="00165D25">
        <w:rPr>
          <w:i/>
          <w:sz w:val="22"/>
        </w:rPr>
        <w:t>”</w:t>
      </w:r>
      <w:r w:rsidR="00EC7E9C" w:rsidRPr="00165D25">
        <w:rPr>
          <w:b/>
          <w:sz w:val="22"/>
        </w:rPr>
        <w:t xml:space="preserve"> </w:t>
      </w:r>
      <w:r w:rsidR="001675C0" w:rsidRPr="00165D25">
        <w:rPr>
          <w:i/>
          <w:iCs/>
          <w:sz w:val="22"/>
        </w:rPr>
        <w:t xml:space="preserve"> </w:t>
      </w:r>
    </w:p>
    <w:p w:rsidR="00165D25" w:rsidRPr="002879E2" w:rsidRDefault="00165D25">
      <w:pPr>
        <w:jc w:val="both"/>
        <w:rPr>
          <w:rFonts w:ascii="Arial" w:hAnsi="Arial" w:cs="Arial"/>
          <w:sz w:val="20"/>
        </w:rPr>
      </w:pPr>
    </w:p>
    <w:p w:rsidR="001675C0" w:rsidRPr="002879E2" w:rsidRDefault="00CC205A">
      <w:pPr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CONSIDERANDO</w:t>
      </w:r>
      <w:r w:rsidR="001675C0" w:rsidRPr="002879E2">
        <w:rPr>
          <w:rFonts w:ascii="Arial" w:hAnsi="Arial" w:cs="Arial"/>
          <w:b/>
          <w:sz w:val="20"/>
        </w:rPr>
        <w:t>:</w:t>
      </w:r>
    </w:p>
    <w:p w:rsidR="001675C0" w:rsidRPr="002879E2" w:rsidRDefault="001675C0">
      <w:pPr>
        <w:jc w:val="center"/>
        <w:rPr>
          <w:rFonts w:ascii="Arial" w:hAnsi="Arial" w:cs="Arial"/>
          <w:b/>
          <w:sz w:val="20"/>
        </w:rPr>
      </w:pPr>
    </w:p>
    <w:p w:rsidR="001675C0" w:rsidRPr="002879E2" w:rsidRDefault="001675C0">
      <w:pPr>
        <w:pStyle w:val="Textoindependiente"/>
        <w:ind w:left="540" w:hanging="540"/>
        <w:rPr>
          <w:b w:val="0"/>
        </w:rPr>
      </w:pPr>
      <w:r w:rsidRPr="002879E2">
        <w:rPr>
          <w:b w:val="0"/>
        </w:rPr>
        <w:t>1.</w:t>
      </w:r>
      <w:r w:rsidRPr="002879E2">
        <w:rPr>
          <w:b w:val="0"/>
        </w:rPr>
        <w:tab/>
        <w:t>Que los hechos suscitados entre las partes son susceptibles de CONCILIACIÓN, de acuerdo a lo preceptuado en la ley 446 de 1998 y en el Art. 40 de la Ley 640 de 2001 y sus Decretos Reglamentarios.</w:t>
      </w:r>
    </w:p>
    <w:p w:rsidR="001675C0" w:rsidRPr="002879E2" w:rsidRDefault="001675C0">
      <w:pPr>
        <w:pStyle w:val="Textoindependiente"/>
      </w:pPr>
    </w:p>
    <w:p w:rsidR="001675C0" w:rsidRPr="002879E2" w:rsidRDefault="001675C0">
      <w:pPr>
        <w:pStyle w:val="Sangradetextonormal"/>
        <w:rPr>
          <w:sz w:val="20"/>
        </w:rPr>
      </w:pPr>
      <w:r w:rsidRPr="002879E2">
        <w:rPr>
          <w:sz w:val="20"/>
        </w:rPr>
        <w:t>2.</w:t>
      </w:r>
      <w:r w:rsidRPr="002879E2">
        <w:rPr>
          <w:sz w:val="20"/>
        </w:rPr>
        <w:tab/>
        <w:t xml:space="preserve">Que después de haber escuchado las distintas fórmulas de arreglo propuestas por las partes y el Conciliador, las primeras han llegado a un </w:t>
      </w:r>
      <w:r w:rsidRPr="002879E2">
        <w:rPr>
          <w:b/>
          <w:bCs/>
          <w:sz w:val="20"/>
        </w:rPr>
        <w:t xml:space="preserve">ACUERDO </w:t>
      </w:r>
      <w:r w:rsidR="00165D25">
        <w:rPr>
          <w:b/>
          <w:bCs/>
          <w:sz w:val="20"/>
        </w:rPr>
        <w:t>PARCIAL</w:t>
      </w:r>
      <w:r w:rsidRPr="002879E2">
        <w:rPr>
          <w:b/>
          <w:bCs/>
          <w:sz w:val="20"/>
        </w:rPr>
        <w:t xml:space="preserve"> </w:t>
      </w:r>
      <w:r w:rsidRPr="002879E2">
        <w:rPr>
          <w:sz w:val="20"/>
        </w:rPr>
        <w:t xml:space="preserve">de manera voluntaria, libre y espontánea, que se regirá por las cláusulas que a continuación se enuncian: </w:t>
      </w:r>
    </w:p>
    <w:p w:rsidR="001675C0" w:rsidRPr="002879E2" w:rsidRDefault="001675C0">
      <w:pPr>
        <w:pStyle w:val="Sangradetextonormal"/>
        <w:rPr>
          <w:sz w:val="20"/>
        </w:rPr>
      </w:pPr>
    </w:p>
    <w:p w:rsidR="001675C0" w:rsidRPr="002879E2" w:rsidRDefault="001675C0">
      <w:pPr>
        <w:pStyle w:val="Sangradetextonormal"/>
        <w:rPr>
          <w:sz w:val="20"/>
        </w:rPr>
      </w:pPr>
      <w:r w:rsidRPr="002879E2">
        <w:rPr>
          <w:sz w:val="20"/>
        </w:rPr>
        <w:t>3.</w:t>
      </w:r>
      <w:r w:rsidRPr="002879E2">
        <w:rPr>
          <w:sz w:val="20"/>
        </w:rPr>
        <w:tab/>
        <w:t>De conformidad con el pacto por la transparencia, las partes manifiestan no tener ningún interés ni estar vinculadas a la Personería de Bogotá.</w:t>
      </w:r>
    </w:p>
    <w:p w:rsidR="002D392D" w:rsidRDefault="002D392D">
      <w:pPr>
        <w:pStyle w:val="Sangradetextonormal"/>
        <w:rPr>
          <w:sz w:val="20"/>
        </w:rPr>
      </w:pPr>
    </w:p>
    <w:p w:rsidR="00F97A76" w:rsidRPr="002879E2" w:rsidRDefault="00F97A76">
      <w:pPr>
        <w:pStyle w:val="Sangradetextonormal"/>
        <w:rPr>
          <w:sz w:val="20"/>
        </w:rPr>
      </w:pPr>
    </w:p>
    <w:p w:rsidR="00F97A76" w:rsidRPr="00F97A76" w:rsidRDefault="00253CC2" w:rsidP="00F97A76">
      <w:pPr>
        <w:jc w:val="both"/>
        <w:rPr>
          <w:rFonts w:ascii="Arial" w:hAnsi="Arial" w:cs="Arial"/>
          <w:sz w:val="22"/>
          <w:szCs w:val="22"/>
          <w:lang w:val="es-ES" w:eastAsia="ar-SA"/>
        </w:rPr>
      </w:pPr>
      <w:r w:rsidRPr="00F97A76">
        <w:rPr>
          <w:rFonts w:ascii="Arial" w:hAnsi="Arial" w:cs="Arial"/>
          <w:b/>
          <w:bCs/>
          <w:sz w:val="20"/>
        </w:rPr>
        <w:t>PRIMERA</w:t>
      </w:r>
      <w:r w:rsidR="00165D25" w:rsidRPr="00F97A76">
        <w:rPr>
          <w:rFonts w:ascii="Arial" w:hAnsi="Arial" w:cs="Arial"/>
          <w:b/>
          <w:bCs/>
          <w:sz w:val="20"/>
        </w:rPr>
        <w:t>. –</w:t>
      </w:r>
      <w:r w:rsidRPr="00F97A76">
        <w:rPr>
          <w:rFonts w:ascii="Arial" w:hAnsi="Arial" w:cs="Arial"/>
          <w:b/>
          <w:bCs/>
          <w:sz w:val="20"/>
        </w:rPr>
        <w:t xml:space="preserve"> </w:t>
      </w:r>
    </w:p>
    <w:p w:rsidR="002D392D" w:rsidRDefault="002D392D" w:rsidP="00F97A76">
      <w:pPr>
        <w:pStyle w:val="WW-Textoindependiente2"/>
        <w:rPr>
          <w:sz w:val="20"/>
        </w:rPr>
      </w:pPr>
    </w:p>
    <w:p w:rsidR="00165D25" w:rsidRPr="00F97A76" w:rsidRDefault="00165D25" w:rsidP="00F97A76">
      <w:pPr>
        <w:pStyle w:val="WW-Textoindependiente2"/>
        <w:rPr>
          <w:sz w:val="20"/>
        </w:rPr>
      </w:pPr>
    </w:p>
    <w:p w:rsidR="00E47B1E" w:rsidRDefault="001675C0" w:rsidP="00F97A76">
      <w:pPr>
        <w:pStyle w:val="WW-Textoindependiente2"/>
        <w:rPr>
          <w:sz w:val="20"/>
        </w:rPr>
      </w:pPr>
      <w:r w:rsidRPr="002879E2">
        <w:rPr>
          <w:b/>
          <w:bCs/>
          <w:sz w:val="20"/>
        </w:rPr>
        <w:t xml:space="preserve">SEGUNDA.- </w:t>
      </w:r>
    </w:p>
    <w:p w:rsidR="00303A2D" w:rsidRPr="002879E2" w:rsidRDefault="00303A2D">
      <w:pPr>
        <w:pStyle w:val="WW-Textoindependiente2"/>
        <w:rPr>
          <w:sz w:val="20"/>
        </w:rPr>
      </w:pPr>
    </w:p>
    <w:p w:rsidR="001675C0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La presente conciliación </w:t>
      </w:r>
      <w:r w:rsidRPr="002879E2">
        <w:rPr>
          <w:b/>
          <w:sz w:val="20"/>
        </w:rPr>
        <w:t>PRESTA MÉRITO EJECUTIVO y hace TRANSITO A COSA JUZGADA FORMAL</w:t>
      </w:r>
      <w:r w:rsidRPr="002879E2">
        <w:rPr>
          <w:sz w:val="20"/>
        </w:rPr>
        <w:t>,  sustituye y deja sin efecto cualquier convenio verbal o escrito celebrado con anterioridad entre las mismas partes y sobre el mismo objeto.</w:t>
      </w:r>
    </w:p>
    <w:p w:rsidR="004B3A73" w:rsidRPr="002879E2" w:rsidRDefault="004B3A73">
      <w:pPr>
        <w:pStyle w:val="WW-Textoindependiente2"/>
        <w:rPr>
          <w:sz w:val="20"/>
        </w:rPr>
      </w:pPr>
    </w:p>
    <w:p w:rsidR="004E523D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Se deja constancia que se verificó las cédulas de ciudadanía de los comparecientes, siendo devueltas en forma inmediata. </w:t>
      </w:r>
    </w:p>
    <w:p w:rsidR="004E523D" w:rsidRPr="002879E2" w:rsidRDefault="004E523D">
      <w:pPr>
        <w:pStyle w:val="WW-Textoindependiente2"/>
        <w:rPr>
          <w:sz w:val="20"/>
        </w:rPr>
      </w:pPr>
    </w:p>
    <w:p w:rsidR="001675C0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Previa lectura del contenido de esta conciliación es </w:t>
      </w:r>
      <w:r w:rsidR="00184C33" w:rsidRPr="002879E2">
        <w:rPr>
          <w:sz w:val="20"/>
        </w:rPr>
        <w:t>aprobada</w:t>
      </w:r>
      <w:r w:rsidRPr="002879E2">
        <w:rPr>
          <w:sz w:val="20"/>
        </w:rPr>
        <w:t xml:space="preserve"> en todas sus partes por quienes la suscriben, dejando original para el archivo del CENTRO DE CONCILIACIÓN, y se entrega a las partes fiel copia del original.</w:t>
      </w:r>
    </w:p>
    <w:p w:rsidR="001675C0" w:rsidRPr="002879E2" w:rsidRDefault="001675C0">
      <w:pPr>
        <w:pStyle w:val="WW-Textoindependiente2"/>
        <w:rPr>
          <w:sz w:val="20"/>
        </w:rPr>
      </w:pPr>
    </w:p>
    <w:p w:rsidR="001675C0" w:rsidRPr="002879E2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>En señal de aceptación se firma por quienes en ella intervinieron, en Cuatro (4) ejemplares del mismo  tenor y valor hoy</w:t>
      </w:r>
      <w:r w:rsidRPr="002879E2">
        <w:rPr>
          <w:rFonts w:ascii="Arial" w:hAnsi="Arial" w:cs="Arial"/>
          <w:b/>
          <w:bCs/>
          <w:sz w:val="20"/>
        </w:rPr>
        <w:t xml:space="preserve"> </w:t>
      </w:r>
      <w:r w:rsidR="00165D25">
        <w:rPr>
          <w:b/>
          <w:sz w:val="22"/>
          <w:szCs w:val="22"/>
        </w:rPr>
        <w:t>UN 01 día(s) del mes de Julio del 2020, siendo las 13:50,</w:t>
      </w:r>
    </w:p>
    <w:p w:rsidR="007F106E" w:rsidRPr="002879E2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 xml:space="preserve"> </w:t>
      </w:r>
    </w:p>
    <w:p w:rsidR="001675C0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>LAS PARTES:</w:t>
      </w:r>
    </w:p>
    <w:p w:rsidR="00F97A76" w:rsidRPr="002879E2" w:rsidRDefault="00F97A76">
      <w:pPr>
        <w:jc w:val="both"/>
        <w:rPr>
          <w:rFonts w:ascii="Arial" w:hAnsi="Arial" w:cs="Arial"/>
          <w:sz w:val="20"/>
        </w:rPr>
      </w:pPr>
    </w:p>
    <w:p w:rsidR="00016461" w:rsidRPr="00165D25" w:rsidRDefault="00F97A76">
      <w:pPr>
        <w:jc w:val="both"/>
        <w:rPr>
          <w:rFonts w:ascii="Arial" w:hAnsi="Arial" w:cs="Arial"/>
          <w:sz w:val="20"/>
          <w:lang w:val="es-ES" w:eastAsia="ar-SA"/>
        </w:rPr>
      </w:pP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</w:p>
    <w:p w:rsidR="00016461" w:rsidRDefault="00016461">
      <w:pPr>
        <w:jc w:val="both"/>
        <w:rPr>
          <w:rFonts w:ascii="Arial" w:hAnsi="Arial" w:cs="Arial"/>
          <w:b/>
          <w:bCs/>
          <w:sz w:val="20"/>
        </w:rPr>
      </w:pPr>
    </w:p>
    <w:p w:rsidR="00837175" w:rsidRDefault="00837175">
      <w:pPr>
        <w:jc w:val="both"/>
        <w:rPr>
          <w:rFonts w:ascii="Arial" w:hAnsi="Arial" w:cs="Arial"/>
          <w:b/>
          <w:bCs/>
          <w:sz w:val="20"/>
        </w:rPr>
      </w:pPr>
    </w:p>
    <w:p w:rsidR="00837175" w:rsidRDefault="00837175" w:rsidP="00837175">
      <w:pPr>
        <w:autoSpaceDE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JOSÉ LUIS BARRETO INFANTE</w:t>
      </w:r>
    </w:p>
    <w:p w:rsidR="00837175" w:rsidRPr="007A372C" w:rsidRDefault="00837175" w:rsidP="00837175">
      <w:pPr>
        <w:autoSpaceDE w:val="0"/>
        <w:jc w:val="both"/>
        <w:rPr>
          <w:rFonts w:ascii="Arial" w:hAnsi="Arial" w:cs="Arial"/>
          <w:b/>
          <w:bCs/>
          <w:sz w:val="20"/>
          <w:lang w:val="es-ES"/>
        </w:rPr>
      </w:pPr>
      <w:r w:rsidRPr="007A372C">
        <w:rPr>
          <w:rFonts w:ascii="Arial" w:hAnsi="Arial" w:cs="Arial"/>
          <w:b/>
          <w:bCs/>
          <w:sz w:val="20"/>
          <w:lang w:val="es-ES"/>
        </w:rPr>
        <w:t>Abogado Conciliador</w:t>
      </w:r>
    </w:p>
    <w:p w:rsidR="00837175" w:rsidRDefault="00837175">
      <w:pPr>
        <w:jc w:val="both"/>
        <w:rPr>
          <w:rFonts w:ascii="Arial" w:hAnsi="Arial" w:cs="Arial"/>
          <w:b/>
          <w:bCs/>
          <w:sz w:val="20"/>
        </w:rPr>
      </w:pPr>
    </w:p>
    <w:p w:rsidR="00016461" w:rsidRPr="002879E2" w:rsidRDefault="00016461">
      <w:pPr>
        <w:jc w:val="both"/>
        <w:rPr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</w:p>
    <w:sectPr w:rsidR="00016461" w:rsidRPr="002879E2" w:rsidSect="00EA0C64">
      <w:headerReference w:type="default" r:id="rId9"/>
      <w:footerReference w:type="default" r:id="rId10"/>
      <w:pgSz w:w="12240" w:h="18720" w:code="14"/>
      <w:pgMar w:top="3402" w:right="1134" w:bottom="1134" w:left="1701" w:header="703" w:footer="19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25" w:rsidRDefault="00891125">
      <w:r>
        <w:separator/>
      </w:r>
    </w:p>
  </w:endnote>
  <w:endnote w:type="continuationSeparator" w:id="0">
    <w:p w:rsidR="00891125" w:rsidRDefault="0089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C0" w:rsidRDefault="001675C0">
    <w:pPr>
      <w:jc w:val="both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____________</w:t>
    </w:r>
  </w:p>
  <w:p w:rsidR="001675C0" w:rsidRDefault="001675C0">
    <w:pPr>
      <w:pStyle w:val="Piedepgina"/>
      <w:jc w:val="right"/>
    </w:pPr>
    <w:r>
      <w:rPr>
        <w:rFonts w:ascii="Arial" w:hAnsi="Arial" w:cs="Arial"/>
        <w:b/>
        <w:bCs/>
        <w:szCs w:val="24"/>
      </w:rPr>
      <w:t xml:space="preserve"> </w:t>
    </w:r>
    <w:r>
      <w:rPr>
        <w:rFonts w:ascii="Arial" w:hAnsi="Arial" w:cs="Arial"/>
        <w:b/>
        <w:bCs/>
        <w:szCs w:val="24"/>
        <w:u w:val="single"/>
      </w:rPr>
      <w:t>VIGILADO</w:t>
    </w:r>
    <w:r>
      <w:rPr>
        <w:rFonts w:ascii="Arial" w:hAnsi="Arial" w:cs="Arial"/>
        <w:b/>
        <w:bCs/>
        <w:szCs w:val="24"/>
      </w:rPr>
      <w:t xml:space="preserve"> </w:t>
    </w:r>
    <w:r>
      <w:rPr>
        <w:rFonts w:ascii="Arial" w:hAnsi="Arial" w:cs="Arial"/>
        <w:szCs w:val="24"/>
      </w:rPr>
      <w:t xml:space="preserve">Ministerio de Justicia y del Derecho. </w:t>
    </w:r>
    <w:r>
      <w:rPr>
        <w:rFonts w:ascii="Arial" w:hAnsi="Arial" w:cs="Arial"/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\*Arabic </w:instrText>
    </w:r>
    <w:r>
      <w:rPr>
        <w:sz w:val="20"/>
      </w:rPr>
      <w:fldChar w:fldCharType="separate"/>
    </w:r>
    <w:r w:rsidR="004D77A4">
      <w:rPr>
        <w:noProof/>
        <w:sz w:val="20"/>
      </w:rPr>
      <w:t>1</w:t>
    </w:r>
    <w:r>
      <w:rPr>
        <w:sz w:val="20"/>
      </w:rPr>
      <w:fldChar w:fldCharType="end"/>
    </w:r>
    <w:r>
      <w:rPr>
        <w:rFonts w:ascii="Arial" w:hAnsi="Arial" w:cs="Arial"/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\*Arabic </w:instrText>
    </w:r>
    <w:r>
      <w:rPr>
        <w:sz w:val="20"/>
      </w:rPr>
      <w:fldChar w:fldCharType="separate"/>
    </w:r>
    <w:r w:rsidR="004D77A4">
      <w:rPr>
        <w:noProof/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25" w:rsidRDefault="00891125">
      <w:r>
        <w:separator/>
      </w:r>
    </w:p>
  </w:footnote>
  <w:footnote w:type="continuationSeparator" w:id="0">
    <w:p w:rsidR="00891125" w:rsidRDefault="00891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80" w:rsidRPr="00F25FE0" w:rsidRDefault="00D22580" w:rsidP="004D77A4">
    <w:pPr>
      <w:rPr>
        <w:rFonts w:ascii="Tahoma" w:hAnsi="Tahoma" w:cs="Tahoma"/>
        <w:b/>
        <w:bCs/>
        <w:sz w:val="16"/>
        <w:szCs w:val="16"/>
      </w:rPr>
    </w:pPr>
    <w:r w:rsidRPr="00F25FE0">
      <w:rPr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1" locked="0" layoutInCell="1" allowOverlap="1" wp14:anchorId="755B2669" wp14:editId="44DD85B4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2105025" cy="762000"/>
          <wp:effectExtent l="0" t="0" r="0" b="0"/>
          <wp:wrapThrough wrapText="bothSides">
            <wp:wrapPolygon edited="0">
              <wp:start x="1564" y="1620"/>
              <wp:lineTo x="1564" y="18900"/>
              <wp:lineTo x="17397" y="18900"/>
              <wp:lineTo x="18570" y="17820"/>
              <wp:lineTo x="19938" y="14040"/>
              <wp:lineTo x="19938" y="5400"/>
              <wp:lineTo x="19352" y="2700"/>
              <wp:lineTo x="17593" y="1620"/>
              <wp:lineTo x="1564" y="1620"/>
            </wp:wrapPolygon>
          </wp:wrapThrough>
          <wp:docPr id="1" name="Picture 4" descr="Macintosh HD:Users:personeriabogota:Documents:Personeria:2016:Julio:Propuesta logo:Logo Nuevo Personeria cuadricula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personeriabogota:Documents:Personeria:2016:Julio:Propuesta logo:Logo Nuevo Personeria cuadricula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77A4">
      <w:rPr>
        <w:rFonts w:ascii="Tahoma" w:hAnsi="Tahoma" w:cs="Tahoma"/>
        <w:b/>
        <w:bCs/>
        <w:sz w:val="16"/>
        <w:szCs w:val="16"/>
      </w:rPr>
      <w:t xml:space="preserve">                                     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PERSONERÍA DE BOGOTA D.C.</w:t>
    </w:r>
  </w:p>
  <w:p w:rsidR="00D22580" w:rsidRPr="00907BEE" w:rsidRDefault="00D22580" w:rsidP="00D22580">
    <w:pPr>
      <w:pStyle w:val="Ttulo1"/>
      <w:ind w:left="2508" w:firstLine="324"/>
      <w:jc w:val="left"/>
      <w:rPr>
        <w:sz w:val="16"/>
        <w:szCs w:val="16"/>
      </w:rPr>
    </w:pPr>
    <w:r>
      <w:rPr>
        <w:sz w:val="16"/>
        <w:szCs w:val="16"/>
      </w:rPr>
      <w:t xml:space="preserve">                    </w:t>
    </w:r>
    <w:r w:rsidRPr="00F25FE0">
      <w:rPr>
        <w:sz w:val="16"/>
        <w:szCs w:val="16"/>
      </w:rPr>
      <w:t>CENTRO DE CONCILIACIÓN EN DERECHO</w:t>
    </w:r>
  </w:p>
  <w:p w:rsidR="00D22580" w:rsidRPr="00F25FE0" w:rsidRDefault="00D22580" w:rsidP="00D22580">
    <w:pPr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</w:t>
    </w:r>
    <w:r w:rsidR="004D77A4">
      <w:rPr>
        <w:rFonts w:ascii="Tahoma" w:hAnsi="Tahoma" w:cs="Tahoma"/>
        <w:b/>
        <w:bCs/>
        <w:sz w:val="16"/>
        <w:szCs w:val="16"/>
      </w:rPr>
      <w:t xml:space="preserve">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Autorizado Resolución 2449 del 24 de Diciembre de 2003</w:t>
    </w:r>
  </w:p>
  <w:p w:rsidR="00D22580" w:rsidRPr="00F25FE0" w:rsidRDefault="00D22580" w:rsidP="00D22580">
    <w:pPr>
      <w:ind w:left="2568" w:firstLine="324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        </w:t>
    </w:r>
    <w:r w:rsidRPr="00F25FE0">
      <w:rPr>
        <w:rFonts w:ascii="Tahoma" w:hAnsi="Tahoma" w:cs="Tahoma"/>
        <w:b/>
        <w:bCs/>
        <w:sz w:val="16"/>
        <w:szCs w:val="16"/>
      </w:rPr>
      <w:t>Ministerio del Interior y de Justicia</w:t>
    </w:r>
  </w:p>
  <w:p w:rsidR="00D22580" w:rsidRPr="00F25FE0" w:rsidRDefault="004D77A4" w:rsidP="00D22580">
    <w:pPr>
      <w:ind w:left="4368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</w:t>
    </w:r>
    <w:r w:rsidR="00D22580" w:rsidRPr="00F25FE0">
      <w:rPr>
        <w:rFonts w:ascii="Tahoma" w:hAnsi="Tahoma" w:cs="Tahoma"/>
        <w:b/>
        <w:bCs/>
        <w:sz w:val="16"/>
        <w:szCs w:val="16"/>
      </w:rPr>
      <w:t>Código No. 3186</w:t>
    </w:r>
  </w:p>
  <w:p w:rsidR="00D22580" w:rsidRPr="00F25FE0" w:rsidRDefault="00D22580" w:rsidP="00D22580">
    <w:pPr>
      <w:ind w:left="1800"/>
      <w:jc w:val="center"/>
      <w:rPr>
        <w:rFonts w:ascii="Tahoma" w:hAnsi="Tahoma" w:cs="Tahoma"/>
        <w:b/>
        <w:bCs/>
        <w:sz w:val="16"/>
        <w:szCs w:val="16"/>
      </w:rPr>
    </w:pPr>
  </w:p>
  <w:p w:rsidR="00D22580" w:rsidRPr="00F25FE0" w:rsidRDefault="00D22580" w:rsidP="00D22580">
    <w:pPr>
      <w:pStyle w:val="Ttulo5"/>
      <w:rPr>
        <w:sz w:val="16"/>
        <w:szCs w:val="16"/>
      </w:rPr>
    </w:pPr>
  </w:p>
  <w:p w:rsidR="00D22580" w:rsidRPr="00F25FE0" w:rsidRDefault="00D22580" w:rsidP="00D22580">
    <w:pPr>
      <w:pStyle w:val="Ttulo5"/>
      <w:ind w:left="0"/>
      <w:rPr>
        <w:sz w:val="16"/>
        <w:szCs w:val="16"/>
      </w:rPr>
    </w:pPr>
    <w:r w:rsidRPr="00F25FE0">
      <w:rPr>
        <w:sz w:val="16"/>
        <w:szCs w:val="16"/>
      </w:rPr>
      <w:t xml:space="preserve">ACTA DE CONCILIACIÓN </w:t>
    </w:r>
    <w:r>
      <w:rPr>
        <w:sz w:val="16"/>
        <w:szCs w:val="16"/>
      </w:rPr>
      <w:t>PARCIAL</w:t>
    </w:r>
    <w:r w:rsidRPr="00F25FE0">
      <w:rPr>
        <w:sz w:val="16"/>
        <w:szCs w:val="16"/>
      </w:rPr>
      <w:t xml:space="preserve">  No.</w:t>
    </w:r>
  </w:p>
  <w:p w:rsidR="00D22580" w:rsidRPr="00F25FE0" w:rsidRDefault="00D22580" w:rsidP="00D22580">
    <w:pPr>
      <w:pStyle w:val="Textoindependiente"/>
      <w:jc w:val="center"/>
      <w:rPr>
        <w:rFonts w:ascii="Tahoma" w:hAnsi="Tahoma" w:cs="Tahoma"/>
        <w:sz w:val="16"/>
        <w:szCs w:val="16"/>
      </w:rPr>
    </w:pPr>
  </w:p>
  <w:p w:rsidR="00D22580" w:rsidRPr="006F146B" w:rsidRDefault="00D22580" w:rsidP="00D22580">
    <w:pPr>
      <w:pStyle w:val="Textoindependiente"/>
      <w:jc w:val="center"/>
      <w:rPr>
        <w:rFonts w:ascii="Tahoma" w:hAnsi="Tahoma" w:cs="Tahoma"/>
        <w:sz w:val="16"/>
        <w:szCs w:val="16"/>
      </w:rPr>
    </w:pPr>
    <w:r w:rsidRPr="006F146B">
      <w:rPr>
        <w:rFonts w:ascii="Tahoma" w:hAnsi="Tahoma" w:cs="Tahoma"/>
        <w:sz w:val="16"/>
        <w:szCs w:val="16"/>
      </w:rPr>
      <w:t xml:space="preserve">Solicitud Conciliación No. </w:t>
    </w:r>
    <w:r w:rsidRPr="006F146B">
      <w:rPr>
        <w:rFonts w:ascii="Tahoma" w:hAnsi="Tahoma" w:cs="Tahoma"/>
        <w:color w:val="000000"/>
        <w:sz w:val="16"/>
        <w:szCs w:val="16"/>
      </w:rPr>
      <w:t>01</w:t>
    </w:r>
    <w:r w:rsidRPr="006F146B">
      <w:rPr>
        <w:rFonts w:ascii="Tahoma" w:hAnsi="Tahoma" w:cs="Tahoma"/>
        <w:sz w:val="16"/>
        <w:szCs w:val="16"/>
      </w:rPr>
      <w:t xml:space="preserve">  del </w:t>
    </w:r>
    <w:r w:rsidRPr="006F146B">
      <w:rPr>
        <w:rFonts w:ascii="Tahoma" w:hAnsi="Tahoma" w:cs="Tahoma"/>
        <w:color w:val="000000"/>
        <w:sz w:val="16"/>
        <w:szCs w:val="16"/>
      </w:rPr>
      <w:t> 01/07/2020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D22580" w:rsidRPr="00F25FE0" w:rsidRDefault="00D22580" w:rsidP="00D22580">
    <w:pPr>
      <w:pStyle w:val="Textoindependiente"/>
      <w:rPr>
        <w:sz w:val="16"/>
        <w:szCs w:val="16"/>
      </w:rPr>
    </w:pPr>
  </w:p>
  <w:p w:rsidR="00D22580" w:rsidRPr="00F25FE0" w:rsidRDefault="00D22580" w:rsidP="00D22580">
    <w:pPr>
      <w:pStyle w:val="Textoindependiente"/>
      <w:jc w:val="center"/>
      <w:rPr>
        <w:sz w:val="16"/>
        <w:szCs w:val="16"/>
      </w:rPr>
    </w:pPr>
    <w:r w:rsidRPr="00F25FE0">
      <w:rPr>
        <w:sz w:val="16"/>
        <w:szCs w:val="16"/>
      </w:rPr>
      <w:t>CITANTE</w:t>
    </w:r>
    <w:r>
      <w:rPr>
        <w:sz w:val="16"/>
        <w:szCs w:val="16"/>
      </w:rPr>
      <w:t>(S)</w:t>
    </w:r>
    <w:r w:rsidRPr="00F25FE0">
      <w:rPr>
        <w:sz w:val="16"/>
        <w:szCs w:val="16"/>
      </w:rPr>
      <w:t>:</w:t>
    </w:r>
    <w:r>
      <w:rPr>
        <w:sz w:val="16"/>
        <w:szCs w:val="16"/>
      </w:rPr>
      <w:t xml:space="preserve"> -</w:t>
    </w:r>
    <w:r w:rsidRPr="00F25FE0">
      <w:rPr>
        <w:sz w:val="16"/>
        <w:szCs w:val="16"/>
      </w:rPr>
      <w:t xml:space="preserve"> </w:t>
    </w:r>
    <w:r w:rsidRPr="006F146B">
      <w:rPr>
        <w:rFonts w:ascii="Tahoma" w:hAnsi="Tahoma" w:cs="Tahoma"/>
        <w:color w:val="000000"/>
        <w:sz w:val="16"/>
        <w:szCs w:val="16"/>
      </w:rPr>
      <w:t/>
    </w:r>
    <w:r w:rsidRPr="006F146B">
      <w:rPr>
        <w:rFonts w:ascii="Tahoma" w:hAnsi="Tahoma" w:cs="Tahoma"/>
        <w:sz w:val="16"/>
        <w:szCs w:val="16"/>
      </w:rPr>
      <w:t xml:space="preserve">  </w:t>
    </w:r>
  </w:p>
  <w:p w:rsidR="00D22580" w:rsidRPr="00F25FE0" w:rsidRDefault="00D22580" w:rsidP="00D22580">
    <w:pPr>
      <w:pStyle w:val="Textoindependiente"/>
      <w:jc w:val="center"/>
      <w:rPr>
        <w:sz w:val="16"/>
        <w:szCs w:val="16"/>
      </w:rPr>
    </w:pPr>
    <w:r w:rsidRPr="00F25FE0">
      <w:rPr>
        <w:sz w:val="16"/>
        <w:szCs w:val="16"/>
      </w:rPr>
      <w:t xml:space="preserve"> CITADO</w:t>
    </w:r>
    <w:r>
      <w:rPr>
        <w:sz w:val="16"/>
        <w:szCs w:val="16"/>
      </w:rPr>
      <w:t>(</w:t>
    </w:r>
    <w:r w:rsidRPr="00F25FE0">
      <w:rPr>
        <w:sz w:val="16"/>
        <w:szCs w:val="16"/>
      </w:rPr>
      <w:t>S</w:t>
    </w:r>
    <w:r>
      <w:rPr>
        <w:sz w:val="16"/>
        <w:szCs w:val="16"/>
      </w:rPr>
      <w:t>)</w:t>
    </w:r>
    <w:r w:rsidRPr="00F25FE0">
      <w:rPr>
        <w:sz w:val="16"/>
        <w:szCs w:val="16"/>
      </w:rPr>
      <w:t>:</w:t>
    </w:r>
    <w:r>
      <w:rPr>
        <w:sz w:val="16"/>
        <w:szCs w:val="16"/>
      </w:rPr>
      <w:t xml:space="preserve"> -</w:t>
    </w:r>
    <w:r w:rsidRPr="00F25FE0">
      <w:rPr>
        <w:sz w:val="16"/>
        <w:szCs w:val="16"/>
      </w:rPr>
      <w:t xml:space="preserve"> </w:t>
    </w:r>
    <w:r w:rsidRPr="006F146B">
      <w:rPr>
        <w:rFonts w:ascii="Tahoma" w:hAnsi="Tahoma" w:cs="Tahoma"/>
        <w:color w:val="000000"/>
        <w:sz w:val="16"/>
        <w:szCs w:val="16"/>
      </w:rPr>
      <w:t> ANDRES  CASTELLANOS  identificado(a) con # 1010213817, 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4E7E64" w:rsidRPr="00D22580" w:rsidRDefault="004E7E64" w:rsidP="00D225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DEA593D"/>
    <w:multiLevelType w:val="hybridMultilevel"/>
    <w:tmpl w:val="30BE4A12"/>
    <w:lvl w:ilvl="0" w:tplc="E6584C4A">
      <w:numFmt w:val="bullet"/>
      <w:lvlText w:val="-"/>
      <w:lvlJc w:val="left"/>
      <w:pPr>
        <w:ind w:left="375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39"/>
    <w:rsid w:val="00016461"/>
    <w:rsid w:val="0002264C"/>
    <w:rsid w:val="000554E2"/>
    <w:rsid w:val="00062D93"/>
    <w:rsid w:val="000D7A35"/>
    <w:rsid w:val="000E1F79"/>
    <w:rsid w:val="00164195"/>
    <w:rsid w:val="00165D25"/>
    <w:rsid w:val="001675C0"/>
    <w:rsid w:val="00184C33"/>
    <w:rsid w:val="00195A33"/>
    <w:rsid w:val="001A3A4B"/>
    <w:rsid w:val="001B1057"/>
    <w:rsid w:val="001E3B16"/>
    <w:rsid w:val="00211F68"/>
    <w:rsid w:val="00226A8A"/>
    <w:rsid w:val="00253CC2"/>
    <w:rsid w:val="002879E2"/>
    <w:rsid w:val="002D392D"/>
    <w:rsid w:val="00303A2D"/>
    <w:rsid w:val="00320011"/>
    <w:rsid w:val="003334EE"/>
    <w:rsid w:val="00381795"/>
    <w:rsid w:val="00387B69"/>
    <w:rsid w:val="003A1D98"/>
    <w:rsid w:val="003A5F43"/>
    <w:rsid w:val="003B0BC9"/>
    <w:rsid w:val="003B4AB0"/>
    <w:rsid w:val="003C2DF0"/>
    <w:rsid w:val="003E6014"/>
    <w:rsid w:val="00400D48"/>
    <w:rsid w:val="004064F2"/>
    <w:rsid w:val="0042369E"/>
    <w:rsid w:val="004313B3"/>
    <w:rsid w:val="0044123F"/>
    <w:rsid w:val="00452B8D"/>
    <w:rsid w:val="00491FC4"/>
    <w:rsid w:val="004B3A73"/>
    <w:rsid w:val="004C7155"/>
    <w:rsid w:val="004D77A4"/>
    <w:rsid w:val="004E523D"/>
    <w:rsid w:val="004E7E64"/>
    <w:rsid w:val="00571CAD"/>
    <w:rsid w:val="00590E39"/>
    <w:rsid w:val="00592F83"/>
    <w:rsid w:val="005A12B0"/>
    <w:rsid w:val="005B25C5"/>
    <w:rsid w:val="005B2E98"/>
    <w:rsid w:val="005C5ABF"/>
    <w:rsid w:val="005E64FE"/>
    <w:rsid w:val="005F26AD"/>
    <w:rsid w:val="005F53A1"/>
    <w:rsid w:val="006240C9"/>
    <w:rsid w:val="00664979"/>
    <w:rsid w:val="006D61A1"/>
    <w:rsid w:val="006E0789"/>
    <w:rsid w:val="006F6A93"/>
    <w:rsid w:val="00702239"/>
    <w:rsid w:val="00721B69"/>
    <w:rsid w:val="00734212"/>
    <w:rsid w:val="00743E6B"/>
    <w:rsid w:val="007625E2"/>
    <w:rsid w:val="00765247"/>
    <w:rsid w:val="00795EDF"/>
    <w:rsid w:val="007F106E"/>
    <w:rsid w:val="007F6DF2"/>
    <w:rsid w:val="00823A66"/>
    <w:rsid w:val="00837175"/>
    <w:rsid w:val="00852D30"/>
    <w:rsid w:val="00863528"/>
    <w:rsid w:val="00891125"/>
    <w:rsid w:val="008B44A9"/>
    <w:rsid w:val="0091318F"/>
    <w:rsid w:val="00943DA1"/>
    <w:rsid w:val="00970BD8"/>
    <w:rsid w:val="009D2638"/>
    <w:rsid w:val="00A07FAD"/>
    <w:rsid w:val="00A56228"/>
    <w:rsid w:val="00A60418"/>
    <w:rsid w:val="00A86505"/>
    <w:rsid w:val="00A941E8"/>
    <w:rsid w:val="00B11078"/>
    <w:rsid w:val="00B902D8"/>
    <w:rsid w:val="00B911F3"/>
    <w:rsid w:val="00B91B98"/>
    <w:rsid w:val="00BA168D"/>
    <w:rsid w:val="00BA410A"/>
    <w:rsid w:val="00BA49A7"/>
    <w:rsid w:val="00BF19E4"/>
    <w:rsid w:val="00C152F3"/>
    <w:rsid w:val="00C554DF"/>
    <w:rsid w:val="00C654AD"/>
    <w:rsid w:val="00C947E2"/>
    <w:rsid w:val="00CA50A6"/>
    <w:rsid w:val="00CC205A"/>
    <w:rsid w:val="00CD53E3"/>
    <w:rsid w:val="00CE54FA"/>
    <w:rsid w:val="00D22580"/>
    <w:rsid w:val="00D25711"/>
    <w:rsid w:val="00D261EB"/>
    <w:rsid w:val="00D56736"/>
    <w:rsid w:val="00D80AE0"/>
    <w:rsid w:val="00DB1EC7"/>
    <w:rsid w:val="00DC7168"/>
    <w:rsid w:val="00DE0557"/>
    <w:rsid w:val="00E47B1E"/>
    <w:rsid w:val="00E549A8"/>
    <w:rsid w:val="00E604D2"/>
    <w:rsid w:val="00E91C34"/>
    <w:rsid w:val="00E9276D"/>
    <w:rsid w:val="00EA0C64"/>
    <w:rsid w:val="00EA7624"/>
    <w:rsid w:val="00EC2CFA"/>
    <w:rsid w:val="00EC7E9C"/>
    <w:rsid w:val="00ED2379"/>
    <w:rsid w:val="00ED37D7"/>
    <w:rsid w:val="00EE3679"/>
    <w:rsid w:val="00EE3C9D"/>
    <w:rsid w:val="00F0753C"/>
    <w:rsid w:val="00F81C70"/>
    <w:rsid w:val="00F87D7F"/>
    <w:rsid w:val="00F97A76"/>
    <w:rsid w:val="00FE5E00"/>
    <w:rsid w:val="00FF3362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1"/>
      <w:jc w:val="center"/>
      <w:outlineLvl w:val="4"/>
    </w:pPr>
    <w:rPr>
      <w:rFonts w:ascii="Tahoma" w:hAnsi="Tahoma" w:cs="Tahoma"/>
      <w:b/>
      <w:u w:val="single"/>
    </w:rPr>
  </w:style>
  <w:style w:type="paragraph" w:styleId="Ttulo6">
    <w:name w:val="heading 6"/>
    <w:basedOn w:val="Normal"/>
    <w:next w:val="Normal"/>
    <w:link w:val="Ttulo6Car"/>
    <w:qFormat/>
    <w:rsid w:val="00D22580"/>
    <w:pPr>
      <w:keepNext/>
      <w:tabs>
        <w:tab w:val="num" w:pos="0"/>
      </w:tabs>
      <w:jc w:val="both"/>
      <w:outlineLvl w:val="5"/>
    </w:pPr>
    <w:rPr>
      <w:b/>
      <w:bCs/>
      <w:szCs w:val="24"/>
      <w:lang w:eastAsia="ar-SA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80"/>
      <w:u w:val="single"/>
    </w:rPr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Fuentedeprrafopredeter">
    <w:name w:val="WW-Fuente de párrafo predeter."/>
  </w:style>
  <w:style w:type="character" w:customStyle="1" w:styleId="WW8Num1z2">
    <w:name w:val="WW8Num1z2"/>
    <w:rPr>
      <w:rFonts w:ascii="Symbol" w:eastAsia="Times New Roman" w:hAnsi="Symbol" w:cs="Symbol"/>
    </w:rPr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540" w:hanging="540"/>
      <w:jc w:val="both"/>
    </w:pPr>
    <w:rPr>
      <w:rFonts w:ascii="Arial" w:hAnsi="Arial" w:cs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28"/>
    </w:rPr>
  </w:style>
  <w:style w:type="paragraph" w:styleId="Subttulo">
    <w:name w:val="Subtitle"/>
    <w:basedOn w:val="WW-Encabezado11"/>
    <w:next w:val="Textoindependiente"/>
    <w:qFormat/>
    <w:pPr>
      <w:jc w:val="center"/>
    </w:pPr>
    <w:rPr>
      <w:i/>
    </w:rPr>
  </w:style>
  <w:style w:type="paragraph" w:customStyle="1" w:styleId="WW-Encabezado11">
    <w:name w:val="WW-Encabezado11"/>
    <w:basedOn w:val="Normal"/>
    <w:next w:val="Textoindependiente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Etiqueta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Etiqueta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extoindependiente2">
    <w:name w:val="WW-Texto independiente 2"/>
    <w:basedOn w:val="Normal"/>
    <w:pPr>
      <w:jc w:val="both"/>
    </w:pPr>
    <w:rPr>
      <w:rFonts w:ascii="Arial" w:hAnsi="Arial" w:cs="Arial"/>
    </w:rPr>
  </w:style>
  <w:style w:type="paragraph" w:customStyle="1" w:styleId="WW-Textoindependiente3">
    <w:name w:val="WW-Texto independiente 3"/>
    <w:basedOn w:val="Normal"/>
    <w:pPr>
      <w:jc w:val="both"/>
    </w:pPr>
    <w:rPr>
      <w:rFonts w:ascii="Arial" w:hAnsi="Arial" w:cs="Arial"/>
      <w:sz w:val="26"/>
    </w:rPr>
  </w:style>
  <w:style w:type="paragraph" w:customStyle="1" w:styleId="WW-Sangra2detindependiente">
    <w:name w:val="WW-Sangría 2 de t. independiente"/>
    <w:basedOn w:val="Normal"/>
    <w:pPr>
      <w:ind w:left="495" w:firstLine="1"/>
      <w:jc w:val="both"/>
    </w:pPr>
    <w:rPr>
      <w:rFonts w:ascii="Arial" w:hAnsi="Arial" w:cs="Arial"/>
      <w:sz w:val="28"/>
    </w:rPr>
  </w:style>
  <w:style w:type="paragraph" w:customStyle="1" w:styleId="WW-Sangra3detindependiente">
    <w:name w:val="WW-Sangría 3 de t. independiente"/>
    <w:basedOn w:val="Normal"/>
    <w:pPr>
      <w:ind w:left="360" w:hanging="360"/>
      <w:jc w:val="both"/>
    </w:pPr>
    <w:rPr>
      <w:rFonts w:ascii="Arial" w:hAnsi="Arial" w:cs="Arial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84C33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CE54FA"/>
    <w:pPr>
      <w:ind w:left="708"/>
    </w:pPr>
  </w:style>
  <w:style w:type="character" w:customStyle="1" w:styleId="Ttulo6Car">
    <w:name w:val="Título 6 Car"/>
    <w:basedOn w:val="Fuentedeprrafopredeter"/>
    <w:link w:val="Ttulo6"/>
    <w:rsid w:val="00D22580"/>
    <w:rPr>
      <w:b/>
      <w:bCs/>
      <w:sz w:val="24"/>
      <w:szCs w:val="24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1"/>
      <w:jc w:val="center"/>
      <w:outlineLvl w:val="4"/>
    </w:pPr>
    <w:rPr>
      <w:rFonts w:ascii="Tahoma" w:hAnsi="Tahoma" w:cs="Tahoma"/>
      <w:b/>
      <w:u w:val="single"/>
    </w:rPr>
  </w:style>
  <w:style w:type="paragraph" w:styleId="Ttulo6">
    <w:name w:val="heading 6"/>
    <w:basedOn w:val="Normal"/>
    <w:next w:val="Normal"/>
    <w:link w:val="Ttulo6Car"/>
    <w:qFormat/>
    <w:rsid w:val="00D22580"/>
    <w:pPr>
      <w:keepNext/>
      <w:tabs>
        <w:tab w:val="num" w:pos="0"/>
      </w:tabs>
      <w:jc w:val="both"/>
      <w:outlineLvl w:val="5"/>
    </w:pPr>
    <w:rPr>
      <w:b/>
      <w:bCs/>
      <w:szCs w:val="24"/>
      <w:lang w:eastAsia="ar-SA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80"/>
      <w:u w:val="single"/>
    </w:rPr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Fuentedeprrafopredeter">
    <w:name w:val="WW-Fuente de párrafo predeter."/>
  </w:style>
  <w:style w:type="character" w:customStyle="1" w:styleId="WW8Num1z2">
    <w:name w:val="WW8Num1z2"/>
    <w:rPr>
      <w:rFonts w:ascii="Symbol" w:eastAsia="Times New Roman" w:hAnsi="Symbol" w:cs="Symbol"/>
    </w:rPr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540" w:hanging="540"/>
      <w:jc w:val="both"/>
    </w:pPr>
    <w:rPr>
      <w:rFonts w:ascii="Arial" w:hAnsi="Arial" w:cs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28"/>
    </w:rPr>
  </w:style>
  <w:style w:type="paragraph" w:styleId="Subttulo">
    <w:name w:val="Subtitle"/>
    <w:basedOn w:val="WW-Encabezado11"/>
    <w:next w:val="Textoindependiente"/>
    <w:qFormat/>
    <w:pPr>
      <w:jc w:val="center"/>
    </w:pPr>
    <w:rPr>
      <w:i/>
    </w:rPr>
  </w:style>
  <w:style w:type="paragraph" w:customStyle="1" w:styleId="WW-Encabezado11">
    <w:name w:val="WW-Encabezado11"/>
    <w:basedOn w:val="Normal"/>
    <w:next w:val="Textoindependiente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Etiqueta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Etiqueta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extoindependiente2">
    <w:name w:val="WW-Texto independiente 2"/>
    <w:basedOn w:val="Normal"/>
    <w:pPr>
      <w:jc w:val="both"/>
    </w:pPr>
    <w:rPr>
      <w:rFonts w:ascii="Arial" w:hAnsi="Arial" w:cs="Arial"/>
    </w:rPr>
  </w:style>
  <w:style w:type="paragraph" w:customStyle="1" w:styleId="WW-Textoindependiente3">
    <w:name w:val="WW-Texto independiente 3"/>
    <w:basedOn w:val="Normal"/>
    <w:pPr>
      <w:jc w:val="both"/>
    </w:pPr>
    <w:rPr>
      <w:rFonts w:ascii="Arial" w:hAnsi="Arial" w:cs="Arial"/>
      <w:sz w:val="26"/>
    </w:rPr>
  </w:style>
  <w:style w:type="paragraph" w:customStyle="1" w:styleId="WW-Sangra2detindependiente">
    <w:name w:val="WW-Sangría 2 de t. independiente"/>
    <w:basedOn w:val="Normal"/>
    <w:pPr>
      <w:ind w:left="495" w:firstLine="1"/>
      <w:jc w:val="both"/>
    </w:pPr>
    <w:rPr>
      <w:rFonts w:ascii="Arial" w:hAnsi="Arial" w:cs="Arial"/>
      <w:sz w:val="28"/>
    </w:rPr>
  </w:style>
  <w:style w:type="paragraph" w:customStyle="1" w:styleId="WW-Sangra3detindependiente">
    <w:name w:val="WW-Sangría 3 de t. independiente"/>
    <w:basedOn w:val="Normal"/>
    <w:pPr>
      <w:ind w:left="360" w:hanging="360"/>
      <w:jc w:val="both"/>
    </w:pPr>
    <w:rPr>
      <w:rFonts w:ascii="Arial" w:hAnsi="Arial" w:cs="Arial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84C33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CE54FA"/>
    <w:pPr>
      <w:ind w:left="708"/>
    </w:pPr>
  </w:style>
  <w:style w:type="character" w:customStyle="1" w:styleId="Ttulo6Car">
    <w:name w:val="Título 6 Car"/>
    <w:basedOn w:val="Fuentedeprrafopredeter"/>
    <w:link w:val="Ttulo6"/>
    <w:rsid w:val="00D22580"/>
    <w:rPr>
      <w:b/>
      <w:bCs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F8A3-2804-48CB-9240-4D60E4E8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CONCILIACI�N No</vt:lpstr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CONCILIACI�N No</dc:title>
  <dc:subject/>
  <dc:creator>conciliacion</dc:creator>
  <cp:keywords/>
  <cp:lastModifiedBy>Andres Camilo Castellanos Pinilla</cp:lastModifiedBy>
  <cp:revision>10</cp:revision>
  <cp:lastPrinted>2017-08-14T15:51:00Z</cp:lastPrinted>
  <dcterms:created xsi:type="dcterms:W3CDTF">2017-08-14T15:04:00Z</dcterms:created>
  <dcterms:modified xsi:type="dcterms:W3CDTF">2019-03-27T20:28:00Z</dcterms:modified>
</cp:coreProperties>
</file>