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82447" w14:textId="77777777" w:rsidR="009A7DDE" w:rsidRDefault="009A7DDE" w:rsidP="009A7DD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Contribution Connection – Who Benefits?</w:t>
      </w:r>
    </w:p>
    <w:p w14:paraId="5B347250" w14:textId="77777777" w:rsidR="009A7DDE" w:rsidRDefault="009A7DDE" w:rsidP="009A7DDE">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Drag-and-drop Sorting Activity</w:t>
      </w:r>
      <w:r>
        <w:rPr>
          <w:rFonts w:ascii="Times New Roman" w:eastAsia="Times New Roman" w:hAnsi="Times New Roman" w:cs="Times New Roman"/>
        </w:rPr>
        <w:br/>
      </w:r>
      <w:r>
        <w:rPr>
          <w:rFonts w:ascii="Times New Roman" w:eastAsia="Times New Roman" w:hAnsi="Times New Roman" w:cs="Times New Roman"/>
          <w:b/>
          <w:bCs/>
        </w:rPr>
        <w:t>Media:</w:t>
      </w:r>
      <w:r>
        <w:rPr>
          <w:rFonts w:ascii="Times New Roman" w:eastAsia="Times New Roman" w:hAnsi="Times New Roman" w:cs="Times New Roman"/>
        </w:rPr>
        <w:t xml:space="preserve"> Interactive cards with illustrated icons or animated visuals representing different outcomes of poverty reduction strategies.</w:t>
      </w:r>
      <w:r>
        <w:rPr>
          <w:rFonts w:ascii="Times New Roman" w:eastAsia="Times New Roman" w:hAnsi="Times New Roman" w:cs="Times New Roman"/>
        </w:rPr>
        <w:br/>
      </w:r>
      <w:r>
        <w:rPr>
          <w:rFonts w:ascii="Times New Roman" w:eastAsia="Times New Roman" w:hAnsi="Times New Roman" w:cs="Times New Roman"/>
          <w:b/>
          <w:bCs/>
        </w:rPr>
        <w:t>Goal:</w:t>
      </w:r>
      <w:r>
        <w:rPr>
          <w:rFonts w:ascii="Times New Roman" w:eastAsia="Times New Roman" w:hAnsi="Times New Roman" w:cs="Times New Roman"/>
        </w:rPr>
        <w:t xml:space="preserve"> Learners sort contributions into two categories based on who primarily benefits: </w:t>
      </w:r>
      <w:r>
        <w:rPr>
          <w:rFonts w:ascii="Times New Roman" w:eastAsia="Times New Roman" w:hAnsi="Times New Roman" w:cs="Times New Roman"/>
          <w:b/>
          <w:bCs/>
        </w:rPr>
        <w:t>“Individual/Family Benefit”</w:t>
      </w:r>
      <w:r>
        <w:rPr>
          <w:rFonts w:ascii="Times New Roman" w:eastAsia="Times New Roman" w:hAnsi="Times New Roman" w:cs="Times New Roman"/>
        </w:rPr>
        <w:t xml:space="preserve"> vs </w:t>
      </w:r>
      <w:r>
        <w:rPr>
          <w:rFonts w:ascii="Times New Roman" w:eastAsia="Times New Roman" w:hAnsi="Times New Roman" w:cs="Times New Roman"/>
          <w:b/>
          <w:bCs/>
        </w:rPr>
        <w:t>“Community/Society Benefit.”</w:t>
      </w:r>
    </w:p>
    <w:p w14:paraId="06123B96" w14:textId="77777777" w:rsidR="009A7DDE" w:rsidRDefault="009A7DDE" w:rsidP="009A7DDE">
      <w:pPr>
        <w:spacing w:line="240" w:lineRule="auto"/>
        <w:rPr>
          <w:rFonts w:ascii="Times New Roman" w:eastAsia="Times New Roman" w:hAnsi="Times New Roman" w:cs="Times New Roman"/>
        </w:rPr>
      </w:pPr>
      <w:r>
        <w:pict w14:anchorId="7C3F2083">
          <v:rect id="_x0000_i1025" style="width:0;height:1.5pt" o:hralign="center" o:hrstd="t" o:hr="t" fillcolor="#a0a0a0" stroked="f"/>
        </w:pict>
      </w:r>
    </w:p>
    <w:p w14:paraId="048498C7" w14:textId="77777777" w:rsidR="009A7DDE" w:rsidRDefault="009A7DDE" w:rsidP="009A7DD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 Script):</w:t>
      </w:r>
    </w:p>
    <w:p w14:paraId="6DE5AF01" w14:textId="77777777" w:rsidR="009A7DDE" w:rsidRDefault="009A7DDE" w:rsidP="009A7DDE">
      <w:pPr>
        <w:spacing w:line="240" w:lineRule="auto"/>
        <w:rPr>
          <w:rFonts w:ascii="Times New Roman" w:eastAsia="Times New Roman" w:hAnsi="Times New Roman" w:cs="Times New Roman"/>
        </w:rPr>
      </w:pPr>
      <w:r>
        <w:rPr>
          <w:rFonts w:ascii="Times New Roman" w:eastAsia="Times New Roman" w:hAnsi="Times New Roman" w:cs="Times New Roman"/>
        </w:rPr>
        <w:t xml:space="preserve">"Poverty reduction has powerful ripple effects like dropping a stone in a pond. Some benefits are felt first by families and individuals, while others lift up the whole society. </w:t>
      </w:r>
      <w:r>
        <w:rPr>
          <w:rFonts w:ascii="Quattrocento Sans" w:eastAsia="Quattrocento Sans" w:hAnsi="Quattrocento Sans" w:cs="Quattrocento Sans"/>
        </w:rPr>
        <w:t>🎯</w:t>
      </w:r>
      <w:r>
        <w:rPr>
          <w:rFonts w:ascii="Times New Roman" w:eastAsia="Times New Roman" w:hAnsi="Times New Roman" w:cs="Times New Roman"/>
        </w:rPr>
        <w:t xml:space="preserve"> Your mission? Sort each outcome card into the right category. Think carefully, who feels the impact most directly?"</w:t>
      </w:r>
    </w:p>
    <w:p w14:paraId="1F77B9B8" w14:textId="77777777" w:rsidR="009A7DDE" w:rsidRDefault="009A7DDE" w:rsidP="009A7DDE">
      <w:pPr>
        <w:spacing w:line="240" w:lineRule="auto"/>
        <w:rPr>
          <w:rFonts w:ascii="Times New Roman" w:eastAsia="Times New Roman" w:hAnsi="Times New Roman" w:cs="Times New Roman"/>
        </w:rPr>
      </w:pPr>
      <w:r>
        <w:pict w14:anchorId="1CCF4970">
          <v:rect id="_x0000_i1026" style="width:0;height:1.5pt" o:hralign="center" o:hrstd="t" o:hr="t" fillcolor="#a0a0a0" stroked="f"/>
        </w:pict>
      </w:r>
    </w:p>
    <w:p w14:paraId="4F1C812A" w14:textId="77777777" w:rsidR="009A7DDE" w:rsidRDefault="009A7DDE" w:rsidP="009A7DD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13940060" w14:textId="77777777" w:rsidR="009A7DDE" w:rsidRDefault="009A7DDE" w:rsidP="009A7DDE">
      <w:pPr>
        <w:spacing w:line="240" w:lineRule="auto"/>
        <w:rPr>
          <w:rFonts w:ascii="Times New Roman" w:eastAsia="Times New Roman" w:hAnsi="Times New Roman" w:cs="Times New Roman"/>
        </w:rPr>
      </w:pPr>
      <w:r>
        <w:rPr>
          <w:rFonts w:ascii="Times New Roman" w:eastAsia="Times New Roman" w:hAnsi="Times New Roman" w:cs="Times New Roman"/>
        </w:rPr>
        <w:t xml:space="preserve">"Drag each outcome card into the basket where it belongs: </w:t>
      </w:r>
      <w:r>
        <w:rPr>
          <w:rFonts w:ascii="Times New Roman" w:eastAsia="Times New Roman" w:hAnsi="Times New Roman" w:cs="Times New Roman"/>
          <w:b/>
          <w:bCs/>
        </w:rPr>
        <w:t>Individual/Family Benefit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or </w:t>
      </w:r>
      <w:r>
        <w:rPr>
          <w:rFonts w:ascii="Times New Roman" w:eastAsia="Times New Roman" w:hAnsi="Times New Roman" w:cs="Times New Roman"/>
          <w:b/>
          <w:bCs/>
        </w:rPr>
        <w:t>Community/Society Benefit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w:t>
      </w:r>
    </w:p>
    <w:p w14:paraId="2FDF2DBB" w14:textId="77777777" w:rsidR="009A7DDE" w:rsidRDefault="009A7DDE" w:rsidP="009A7DDE">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Think about </w:t>
      </w:r>
      <w:r>
        <w:rPr>
          <w:rFonts w:ascii="Times New Roman" w:eastAsia="Times New Roman" w:hAnsi="Times New Roman" w:cs="Times New Roman"/>
          <w:b/>
          <w:bCs/>
        </w:rPr>
        <w:t>who feels the change first</w:t>
      </w:r>
      <w:r>
        <w:rPr>
          <w:rFonts w:ascii="Times New Roman" w:eastAsia="Times New Roman" w:hAnsi="Times New Roman" w:cs="Times New Roman"/>
        </w:rPr>
        <w:t>, is it a single person or household, or the whole community? Drop the card in the correct category and see instant feedback to guide your thinking. Keep sorting until every card finds its home!"</w:t>
      </w:r>
    </w:p>
    <w:p w14:paraId="1FEA2405" w14:textId="77777777" w:rsidR="009A7DDE" w:rsidRDefault="009A7DDE" w:rsidP="009A7DDE">
      <w:pPr>
        <w:spacing w:line="240" w:lineRule="auto"/>
        <w:rPr>
          <w:rFonts w:ascii="Times New Roman" w:eastAsia="Times New Roman" w:hAnsi="Times New Roman" w:cs="Times New Roman"/>
        </w:rPr>
      </w:pPr>
      <w:r>
        <w:pict w14:anchorId="57410D4D">
          <v:rect id="_x0000_i1027" style="width:0;height:1.5pt" o:hralign="center" o:hrstd="t" o:hr="t" fillcolor="#a0a0a0" stroked="f"/>
        </w:pict>
      </w:r>
    </w:p>
    <w:p w14:paraId="7474996C" w14:textId="77777777" w:rsidR="009A7DDE" w:rsidRDefault="009A7DDE" w:rsidP="009A7DD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Categories:</w:t>
      </w:r>
    </w:p>
    <w:p w14:paraId="382EBA9F" w14:textId="77777777" w:rsidR="009A7DDE" w:rsidRDefault="009A7DDE" w:rsidP="009A7DDE">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Individual/Family Benefit</w:t>
      </w:r>
    </w:p>
    <w:p w14:paraId="73BA3F4C" w14:textId="77777777" w:rsidR="009A7DDE" w:rsidRDefault="009A7DDE" w:rsidP="009A7DDE">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Community/Society Benefit</w:t>
      </w:r>
    </w:p>
    <w:p w14:paraId="4B1B4922" w14:textId="77777777" w:rsidR="009A7DDE" w:rsidRDefault="009A7DDE" w:rsidP="009A7DDE">
      <w:pPr>
        <w:spacing w:line="240" w:lineRule="auto"/>
        <w:rPr>
          <w:rFonts w:ascii="Times New Roman" w:eastAsia="Times New Roman" w:hAnsi="Times New Roman" w:cs="Times New Roman"/>
        </w:rPr>
      </w:pPr>
      <w:r>
        <w:pict w14:anchorId="75A824FA">
          <v:rect id="_x0000_i1028" style="width:0;height:1.5pt" o:hralign="center" o:hrstd="t" o:hr="t" fillcolor="#a0a0a0" stroked="f"/>
        </w:pict>
      </w:r>
    </w:p>
    <w:p w14:paraId="70D1875F" w14:textId="77777777" w:rsidR="009A7DDE" w:rsidRDefault="009A7DDE" w:rsidP="009A7DD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Cards to Sort (with Improved Feedback):</w:t>
      </w:r>
    </w:p>
    <w:tbl>
      <w:tblPr>
        <w:tblW w:w="9026" w:type="dxa"/>
        <w:tblLayout w:type="fixed"/>
        <w:tblLook w:val="0400" w:firstRow="0" w:lastRow="0" w:firstColumn="0" w:lastColumn="0" w:noHBand="0" w:noVBand="1"/>
      </w:tblPr>
      <w:tblGrid>
        <w:gridCol w:w="1648"/>
        <w:gridCol w:w="1887"/>
        <w:gridCol w:w="2786"/>
        <w:gridCol w:w="2705"/>
      </w:tblGrid>
      <w:tr w:rsidR="009A7DDE" w14:paraId="34041D4F" w14:textId="77777777" w:rsidTr="00CE736A">
        <w:trPr>
          <w:tblHeader/>
        </w:trPr>
        <w:tc>
          <w:tcPr>
            <w:tcW w:w="1648" w:type="dxa"/>
            <w:tcBorders>
              <w:bottom w:val="single" w:sz="4" w:space="0" w:color="000000"/>
              <w:right w:val="single" w:sz="4" w:space="0" w:color="000000"/>
            </w:tcBorders>
            <w:vAlign w:val="center"/>
          </w:tcPr>
          <w:p w14:paraId="3143488A" w14:textId="77777777" w:rsidR="009A7DDE" w:rsidRDefault="009A7DDE"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Card</w:t>
            </w:r>
          </w:p>
        </w:tc>
        <w:tc>
          <w:tcPr>
            <w:tcW w:w="1887" w:type="dxa"/>
            <w:tcBorders>
              <w:left w:val="single" w:sz="4" w:space="0" w:color="000000"/>
              <w:bottom w:val="single" w:sz="4" w:space="0" w:color="000000"/>
              <w:right w:val="single" w:sz="4" w:space="0" w:color="000000"/>
            </w:tcBorders>
            <w:vAlign w:val="center"/>
          </w:tcPr>
          <w:p w14:paraId="7D42A7E0" w14:textId="77777777" w:rsidR="009A7DDE" w:rsidRDefault="009A7DDE"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Correct Category</w:t>
            </w:r>
          </w:p>
        </w:tc>
        <w:tc>
          <w:tcPr>
            <w:tcW w:w="2786" w:type="dxa"/>
            <w:tcBorders>
              <w:left w:val="single" w:sz="4" w:space="0" w:color="000000"/>
              <w:bottom w:val="single" w:sz="4" w:space="0" w:color="000000"/>
              <w:right w:val="single" w:sz="4" w:space="0" w:color="000000"/>
            </w:tcBorders>
            <w:vAlign w:val="center"/>
          </w:tcPr>
          <w:p w14:paraId="012F431A" w14:textId="77777777" w:rsidR="009A7DDE" w:rsidRDefault="009A7DDE"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Correct Feedback</w:t>
            </w:r>
          </w:p>
        </w:tc>
        <w:tc>
          <w:tcPr>
            <w:tcW w:w="2705" w:type="dxa"/>
            <w:tcBorders>
              <w:left w:val="single" w:sz="4" w:space="0" w:color="000000"/>
              <w:bottom w:val="single" w:sz="4" w:space="0" w:color="000000"/>
            </w:tcBorders>
            <w:vAlign w:val="center"/>
          </w:tcPr>
          <w:p w14:paraId="0D2DE057" w14:textId="77777777" w:rsidR="009A7DDE" w:rsidRDefault="009A7DDE"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Incorrect Feedback</w:t>
            </w:r>
          </w:p>
        </w:tc>
      </w:tr>
      <w:tr w:rsidR="009A7DDE" w14:paraId="7670394E" w14:textId="77777777" w:rsidTr="00CE736A">
        <w:tc>
          <w:tcPr>
            <w:tcW w:w="1648" w:type="dxa"/>
            <w:tcBorders>
              <w:top w:val="single" w:sz="4" w:space="0" w:color="000000"/>
              <w:bottom w:val="single" w:sz="4" w:space="0" w:color="000000"/>
              <w:right w:val="single" w:sz="4" w:space="0" w:color="000000"/>
            </w:tcBorders>
            <w:vAlign w:val="center"/>
          </w:tcPr>
          <w:p w14:paraId="1CE52B6B"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Improved Food Security</w:t>
            </w:r>
          </w:p>
        </w:tc>
        <w:tc>
          <w:tcPr>
            <w:tcW w:w="1887" w:type="dxa"/>
            <w:tcBorders>
              <w:top w:val="single" w:sz="4" w:space="0" w:color="000000"/>
              <w:left w:val="single" w:sz="4" w:space="0" w:color="000000"/>
              <w:bottom w:val="single" w:sz="4" w:space="0" w:color="000000"/>
              <w:right w:val="single" w:sz="4" w:space="0" w:color="000000"/>
            </w:tcBorders>
            <w:vAlign w:val="center"/>
          </w:tcPr>
          <w:p w14:paraId="1EBF5D2F"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 xml:space="preserve">Individual/Family </w:t>
            </w:r>
            <w:sdt>
              <w:sdtPr>
                <w:tag w:val="goog_rdk_825"/>
                <w:id w:val="-1648003636"/>
              </w:sdtPr>
              <w:sdtContent>
                <w:r>
                  <w:rPr>
                    <w:rFonts w:ascii="Arial Unicode MS" w:eastAsia="Arial Unicode MS" w:hAnsi="Arial Unicode MS" w:cs="Arial Unicode MS"/>
                  </w:rPr>
                  <w:t>✅</w:t>
                </w:r>
              </w:sdtContent>
            </w:sdt>
          </w:p>
        </w:tc>
        <w:tc>
          <w:tcPr>
            <w:tcW w:w="2786" w:type="dxa"/>
            <w:tcBorders>
              <w:top w:val="single" w:sz="4" w:space="0" w:color="000000"/>
              <w:left w:val="single" w:sz="4" w:space="0" w:color="000000"/>
              <w:bottom w:val="single" w:sz="4" w:space="0" w:color="000000"/>
              <w:right w:val="single" w:sz="4" w:space="0" w:color="000000"/>
            </w:tcBorders>
            <w:vAlign w:val="center"/>
          </w:tcPr>
          <w:p w14:paraId="2E66A3D6"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“Yes! A well, fed family is healthier and more productive. Great job!”</w:t>
            </w:r>
          </w:p>
        </w:tc>
        <w:tc>
          <w:tcPr>
            <w:tcW w:w="2705" w:type="dxa"/>
            <w:tcBorders>
              <w:top w:val="single" w:sz="4" w:space="0" w:color="000000"/>
              <w:left w:val="single" w:sz="4" w:space="0" w:color="000000"/>
              <w:bottom w:val="single" w:sz="4" w:space="0" w:color="000000"/>
            </w:tcBorders>
            <w:vAlign w:val="center"/>
          </w:tcPr>
          <w:p w14:paraId="32A81D13"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“Think: Who eats the food first? Individuals or everyone as a group?”</w:t>
            </w:r>
          </w:p>
        </w:tc>
      </w:tr>
      <w:tr w:rsidR="009A7DDE" w14:paraId="58F1758B" w14:textId="77777777" w:rsidTr="00CE736A">
        <w:tc>
          <w:tcPr>
            <w:tcW w:w="1648" w:type="dxa"/>
            <w:tcBorders>
              <w:top w:val="single" w:sz="4" w:space="0" w:color="000000"/>
              <w:bottom w:val="single" w:sz="4" w:space="0" w:color="000000"/>
              <w:right w:val="single" w:sz="4" w:space="0" w:color="000000"/>
            </w:tcBorders>
            <w:vAlign w:val="center"/>
          </w:tcPr>
          <w:p w14:paraId="4A534DE6"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Better Education Access</w:t>
            </w:r>
          </w:p>
        </w:tc>
        <w:tc>
          <w:tcPr>
            <w:tcW w:w="1887" w:type="dxa"/>
            <w:tcBorders>
              <w:top w:val="single" w:sz="4" w:space="0" w:color="000000"/>
              <w:left w:val="single" w:sz="4" w:space="0" w:color="000000"/>
              <w:bottom w:val="single" w:sz="4" w:space="0" w:color="000000"/>
              <w:right w:val="single" w:sz="4" w:space="0" w:color="000000"/>
            </w:tcBorders>
            <w:vAlign w:val="center"/>
          </w:tcPr>
          <w:p w14:paraId="78E049A4"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 xml:space="preserve">Individual/Family </w:t>
            </w:r>
            <w:sdt>
              <w:sdtPr>
                <w:tag w:val="goog_rdk_826"/>
                <w:id w:val="-461227295"/>
              </w:sdtPr>
              <w:sdtContent>
                <w:r>
                  <w:rPr>
                    <w:rFonts w:ascii="Arial Unicode MS" w:eastAsia="Arial Unicode MS" w:hAnsi="Arial Unicode MS" w:cs="Arial Unicode MS"/>
                  </w:rPr>
                  <w:t>✅</w:t>
                </w:r>
              </w:sdtContent>
            </w:sdt>
          </w:p>
        </w:tc>
        <w:tc>
          <w:tcPr>
            <w:tcW w:w="2786" w:type="dxa"/>
            <w:tcBorders>
              <w:top w:val="single" w:sz="4" w:space="0" w:color="000000"/>
              <w:left w:val="single" w:sz="4" w:space="0" w:color="000000"/>
              <w:bottom w:val="single" w:sz="4" w:space="0" w:color="000000"/>
              <w:right w:val="single" w:sz="4" w:space="0" w:color="000000"/>
            </w:tcBorders>
            <w:vAlign w:val="center"/>
          </w:tcPr>
          <w:p w14:paraId="4F7617A8"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“Exactly! Access to education starts with one child or learner.”</w:t>
            </w:r>
          </w:p>
        </w:tc>
        <w:tc>
          <w:tcPr>
            <w:tcW w:w="2705" w:type="dxa"/>
            <w:tcBorders>
              <w:top w:val="single" w:sz="4" w:space="0" w:color="000000"/>
              <w:left w:val="single" w:sz="4" w:space="0" w:color="000000"/>
              <w:bottom w:val="single" w:sz="4" w:space="0" w:color="000000"/>
            </w:tcBorders>
            <w:vAlign w:val="center"/>
          </w:tcPr>
          <w:p w14:paraId="00766446"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“Try again. Who benefits first from education?</w:t>
            </w:r>
          </w:p>
        </w:tc>
      </w:tr>
      <w:tr w:rsidR="009A7DDE" w14:paraId="4EF6BAFD" w14:textId="77777777" w:rsidTr="00CE736A">
        <w:tc>
          <w:tcPr>
            <w:tcW w:w="1648" w:type="dxa"/>
            <w:tcBorders>
              <w:top w:val="single" w:sz="4" w:space="0" w:color="000000"/>
              <w:bottom w:val="single" w:sz="4" w:space="0" w:color="000000"/>
              <w:right w:val="single" w:sz="4" w:space="0" w:color="000000"/>
            </w:tcBorders>
            <w:vAlign w:val="center"/>
          </w:tcPr>
          <w:p w14:paraId="42374477"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Higher Quality of Life</w:t>
            </w:r>
          </w:p>
        </w:tc>
        <w:tc>
          <w:tcPr>
            <w:tcW w:w="1887" w:type="dxa"/>
            <w:tcBorders>
              <w:top w:val="single" w:sz="4" w:space="0" w:color="000000"/>
              <w:left w:val="single" w:sz="4" w:space="0" w:color="000000"/>
              <w:bottom w:val="single" w:sz="4" w:space="0" w:color="000000"/>
              <w:right w:val="single" w:sz="4" w:space="0" w:color="000000"/>
            </w:tcBorders>
            <w:vAlign w:val="center"/>
          </w:tcPr>
          <w:p w14:paraId="5D4A6EE8"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 xml:space="preserve">Individual/Family </w:t>
            </w:r>
            <w:sdt>
              <w:sdtPr>
                <w:tag w:val="goog_rdk_827"/>
                <w:id w:val="96835540"/>
              </w:sdtPr>
              <w:sdtContent>
                <w:r>
                  <w:rPr>
                    <w:rFonts w:ascii="Arial Unicode MS" w:eastAsia="Arial Unicode MS" w:hAnsi="Arial Unicode MS" w:cs="Arial Unicode MS"/>
                  </w:rPr>
                  <w:t>✅</w:t>
                </w:r>
              </w:sdtContent>
            </w:sdt>
          </w:p>
        </w:tc>
        <w:tc>
          <w:tcPr>
            <w:tcW w:w="2786" w:type="dxa"/>
            <w:tcBorders>
              <w:top w:val="single" w:sz="4" w:space="0" w:color="000000"/>
              <w:left w:val="single" w:sz="4" w:space="0" w:color="000000"/>
              <w:bottom w:val="single" w:sz="4" w:space="0" w:color="000000"/>
              <w:right w:val="single" w:sz="4" w:space="0" w:color="000000"/>
            </w:tcBorders>
            <w:vAlign w:val="center"/>
          </w:tcPr>
          <w:p w14:paraId="0B8DA6C8"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“Spot on! Quality of life often begins at the personal and household level.”</w:t>
            </w:r>
          </w:p>
        </w:tc>
        <w:tc>
          <w:tcPr>
            <w:tcW w:w="2705" w:type="dxa"/>
            <w:tcBorders>
              <w:top w:val="single" w:sz="4" w:space="0" w:color="000000"/>
              <w:left w:val="single" w:sz="4" w:space="0" w:color="000000"/>
              <w:bottom w:val="single" w:sz="4" w:space="0" w:color="000000"/>
            </w:tcBorders>
            <w:vAlign w:val="center"/>
          </w:tcPr>
          <w:p w14:paraId="5443FABB"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“Does this benefit someone directly in their daily life?”</w:t>
            </w:r>
          </w:p>
        </w:tc>
      </w:tr>
      <w:tr w:rsidR="009A7DDE" w14:paraId="0604F6C0" w14:textId="77777777" w:rsidTr="00CE736A">
        <w:tc>
          <w:tcPr>
            <w:tcW w:w="1648" w:type="dxa"/>
            <w:tcBorders>
              <w:top w:val="single" w:sz="4" w:space="0" w:color="000000"/>
              <w:bottom w:val="single" w:sz="4" w:space="0" w:color="000000"/>
              <w:right w:val="single" w:sz="4" w:space="0" w:color="000000"/>
            </w:tcBorders>
            <w:vAlign w:val="center"/>
          </w:tcPr>
          <w:p w14:paraId="6A705AB1"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Increased Economic Development</w:t>
            </w:r>
          </w:p>
        </w:tc>
        <w:tc>
          <w:tcPr>
            <w:tcW w:w="1887" w:type="dxa"/>
            <w:tcBorders>
              <w:top w:val="single" w:sz="4" w:space="0" w:color="000000"/>
              <w:left w:val="single" w:sz="4" w:space="0" w:color="000000"/>
              <w:bottom w:val="single" w:sz="4" w:space="0" w:color="000000"/>
              <w:right w:val="single" w:sz="4" w:space="0" w:color="000000"/>
            </w:tcBorders>
            <w:vAlign w:val="center"/>
          </w:tcPr>
          <w:p w14:paraId="73542FE2"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 xml:space="preserve">Community/Society </w:t>
            </w:r>
            <w:sdt>
              <w:sdtPr>
                <w:tag w:val="goog_rdk_828"/>
                <w:id w:val="-429947310"/>
              </w:sdtPr>
              <w:sdtContent>
                <w:r>
                  <w:rPr>
                    <w:rFonts w:ascii="Arial Unicode MS" w:eastAsia="Arial Unicode MS" w:hAnsi="Arial Unicode MS" w:cs="Arial Unicode MS"/>
                  </w:rPr>
                  <w:t>✅</w:t>
                </w:r>
              </w:sdtContent>
            </w:sdt>
          </w:p>
        </w:tc>
        <w:tc>
          <w:tcPr>
            <w:tcW w:w="2786" w:type="dxa"/>
            <w:tcBorders>
              <w:top w:val="single" w:sz="4" w:space="0" w:color="000000"/>
              <w:left w:val="single" w:sz="4" w:space="0" w:color="000000"/>
              <w:bottom w:val="single" w:sz="4" w:space="0" w:color="000000"/>
              <w:right w:val="single" w:sz="4" w:space="0" w:color="000000"/>
            </w:tcBorders>
            <w:vAlign w:val="center"/>
          </w:tcPr>
          <w:p w14:paraId="7FBDED67"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“Correct! This boosts jobs, infrastructure, and progress for many people.”</w:t>
            </w:r>
          </w:p>
        </w:tc>
        <w:tc>
          <w:tcPr>
            <w:tcW w:w="2705" w:type="dxa"/>
            <w:tcBorders>
              <w:top w:val="single" w:sz="4" w:space="0" w:color="000000"/>
              <w:left w:val="single" w:sz="4" w:space="0" w:color="000000"/>
              <w:bottom w:val="single" w:sz="4" w:space="0" w:color="000000"/>
            </w:tcBorders>
            <w:vAlign w:val="center"/>
          </w:tcPr>
          <w:p w14:paraId="344995CF"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“Think big! Does this affect the economy on a societal scale or individual scale?</w:t>
            </w:r>
          </w:p>
        </w:tc>
      </w:tr>
      <w:tr w:rsidR="009A7DDE" w14:paraId="1B47EDDE" w14:textId="77777777" w:rsidTr="00CE736A">
        <w:tc>
          <w:tcPr>
            <w:tcW w:w="1648" w:type="dxa"/>
            <w:tcBorders>
              <w:top w:val="single" w:sz="4" w:space="0" w:color="000000"/>
              <w:bottom w:val="single" w:sz="4" w:space="0" w:color="000000"/>
              <w:right w:val="single" w:sz="4" w:space="0" w:color="000000"/>
            </w:tcBorders>
            <w:vAlign w:val="center"/>
          </w:tcPr>
          <w:p w14:paraId="077AE158"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Enhanced Security</w:t>
            </w:r>
          </w:p>
        </w:tc>
        <w:tc>
          <w:tcPr>
            <w:tcW w:w="1887" w:type="dxa"/>
            <w:tcBorders>
              <w:top w:val="single" w:sz="4" w:space="0" w:color="000000"/>
              <w:left w:val="single" w:sz="4" w:space="0" w:color="000000"/>
              <w:bottom w:val="single" w:sz="4" w:space="0" w:color="000000"/>
              <w:right w:val="single" w:sz="4" w:space="0" w:color="000000"/>
            </w:tcBorders>
            <w:vAlign w:val="center"/>
          </w:tcPr>
          <w:p w14:paraId="1023AC49"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 xml:space="preserve">Community/Society </w:t>
            </w:r>
            <w:sdt>
              <w:sdtPr>
                <w:tag w:val="goog_rdk_829"/>
                <w:id w:val="505925480"/>
              </w:sdtPr>
              <w:sdtContent>
                <w:r>
                  <w:rPr>
                    <w:rFonts w:ascii="Arial Unicode MS" w:eastAsia="Arial Unicode MS" w:hAnsi="Arial Unicode MS" w:cs="Arial Unicode MS"/>
                  </w:rPr>
                  <w:t>✅</w:t>
                </w:r>
              </w:sdtContent>
            </w:sdt>
          </w:p>
        </w:tc>
        <w:tc>
          <w:tcPr>
            <w:tcW w:w="2786" w:type="dxa"/>
            <w:tcBorders>
              <w:top w:val="single" w:sz="4" w:space="0" w:color="000000"/>
              <w:left w:val="single" w:sz="4" w:space="0" w:color="000000"/>
              <w:bottom w:val="single" w:sz="4" w:space="0" w:color="000000"/>
              <w:right w:val="single" w:sz="4" w:space="0" w:color="000000"/>
            </w:tcBorders>
            <w:vAlign w:val="center"/>
          </w:tcPr>
          <w:p w14:paraId="439532A7"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“Great thinking! Safety for all leads to stronger communities.”</w:t>
            </w:r>
          </w:p>
        </w:tc>
        <w:tc>
          <w:tcPr>
            <w:tcW w:w="2705" w:type="dxa"/>
            <w:tcBorders>
              <w:top w:val="single" w:sz="4" w:space="0" w:color="000000"/>
              <w:left w:val="single" w:sz="4" w:space="0" w:color="000000"/>
              <w:bottom w:val="single" w:sz="4" w:space="0" w:color="000000"/>
            </w:tcBorders>
            <w:vAlign w:val="center"/>
          </w:tcPr>
          <w:p w14:paraId="4DC50B1B"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“Does this protect one person, or everyone in a region?”</w:t>
            </w:r>
          </w:p>
        </w:tc>
      </w:tr>
      <w:tr w:rsidR="009A7DDE" w14:paraId="42CAB02D" w14:textId="77777777" w:rsidTr="00CE736A">
        <w:tc>
          <w:tcPr>
            <w:tcW w:w="1648" w:type="dxa"/>
            <w:tcBorders>
              <w:top w:val="single" w:sz="4" w:space="0" w:color="000000"/>
              <w:bottom w:val="single" w:sz="4" w:space="0" w:color="000000"/>
              <w:right w:val="single" w:sz="4" w:space="0" w:color="000000"/>
            </w:tcBorders>
            <w:vAlign w:val="center"/>
          </w:tcPr>
          <w:p w14:paraId="317D1612"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Reduced Conflict</w:t>
            </w:r>
          </w:p>
        </w:tc>
        <w:tc>
          <w:tcPr>
            <w:tcW w:w="1887" w:type="dxa"/>
            <w:tcBorders>
              <w:top w:val="single" w:sz="4" w:space="0" w:color="000000"/>
              <w:left w:val="single" w:sz="4" w:space="0" w:color="000000"/>
              <w:bottom w:val="single" w:sz="4" w:space="0" w:color="000000"/>
              <w:right w:val="single" w:sz="4" w:space="0" w:color="000000"/>
            </w:tcBorders>
            <w:vAlign w:val="center"/>
          </w:tcPr>
          <w:p w14:paraId="26C481C3"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 xml:space="preserve">Community/Society </w:t>
            </w:r>
            <w:sdt>
              <w:sdtPr>
                <w:tag w:val="goog_rdk_830"/>
                <w:id w:val="-2048385186"/>
              </w:sdtPr>
              <w:sdtContent>
                <w:r>
                  <w:rPr>
                    <w:rFonts w:ascii="Arial Unicode MS" w:eastAsia="Arial Unicode MS" w:hAnsi="Arial Unicode MS" w:cs="Arial Unicode MS"/>
                  </w:rPr>
                  <w:t>✅</w:t>
                </w:r>
              </w:sdtContent>
            </w:sdt>
          </w:p>
        </w:tc>
        <w:tc>
          <w:tcPr>
            <w:tcW w:w="2786" w:type="dxa"/>
            <w:tcBorders>
              <w:top w:val="single" w:sz="4" w:space="0" w:color="000000"/>
              <w:left w:val="single" w:sz="4" w:space="0" w:color="000000"/>
              <w:bottom w:val="single" w:sz="4" w:space="0" w:color="000000"/>
              <w:right w:val="single" w:sz="4" w:space="0" w:color="000000"/>
            </w:tcBorders>
            <w:vAlign w:val="center"/>
          </w:tcPr>
          <w:p w14:paraId="5BB2EBC8"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“Well done! Peace supports schools, businesses, and safe communities.”</w:t>
            </w:r>
          </w:p>
        </w:tc>
        <w:tc>
          <w:tcPr>
            <w:tcW w:w="2705" w:type="dxa"/>
            <w:tcBorders>
              <w:top w:val="single" w:sz="4" w:space="0" w:color="000000"/>
              <w:left w:val="single" w:sz="4" w:space="0" w:color="000000"/>
              <w:bottom w:val="single" w:sz="4" w:space="0" w:color="000000"/>
            </w:tcBorders>
            <w:vAlign w:val="center"/>
          </w:tcPr>
          <w:p w14:paraId="7A0C3E9B"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“Try again! What impact does conflict have? Is it just on individuals or the society at large?</w:t>
            </w:r>
          </w:p>
        </w:tc>
      </w:tr>
      <w:tr w:rsidR="009A7DDE" w14:paraId="14064033" w14:textId="77777777" w:rsidTr="00CE736A">
        <w:tc>
          <w:tcPr>
            <w:tcW w:w="1648" w:type="dxa"/>
            <w:tcBorders>
              <w:top w:val="single" w:sz="4" w:space="0" w:color="000000"/>
              <w:right w:val="single" w:sz="4" w:space="0" w:color="000000"/>
            </w:tcBorders>
            <w:vAlign w:val="center"/>
          </w:tcPr>
          <w:p w14:paraId="74D58F87"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Preservation of Natural Resources</w:t>
            </w:r>
          </w:p>
        </w:tc>
        <w:tc>
          <w:tcPr>
            <w:tcW w:w="1887" w:type="dxa"/>
            <w:tcBorders>
              <w:top w:val="single" w:sz="4" w:space="0" w:color="000000"/>
              <w:left w:val="single" w:sz="4" w:space="0" w:color="000000"/>
              <w:right w:val="single" w:sz="4" w:space="0" w:color="000000"/>
            </w:tcBorders>
            <w:vAlign w:val="center"/>
          </w:tcPr>
          <w:p w14:paraId="3FF01E70"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 xml:space="preserve">Community/Society </w:t>
            </w:r>
            <w:sdt>
              <w:sdtPr>
                <w:tag w:val="goog_rdk_831"/>
                <w:id w:val="-1044263341"/>
              </w:sdtPr>
              <w:sdtContent>
                <w:r>
                  <w:rPr>
                    <w:rFonts w:ascii="Arial Unicode MS" w:eastAsia="Arial Unicode MS" w:hAnsi="Arial Unicode MS" w:cs="Arial Unicode MS"/>
                  </w:rPr>
                  <w:t>✅</w:t>
                </w:r>
              </w:sdtContent>
            </w:sdt>
          </w:p>
        </w:tc>
        <w:tc>
          <w:tcPr>
            <w:tcW w:w="2786" w:type="dxa"/>
            <w:tcBorders>
              <w:top w:val="single" w:sz="4" w:space="0" w:color="000000"/>
              <w:left w:val="single" w:sz="4" w:space="0" w:color="000000"/>
              <w:right w:val="single" w:sz="4" w:space="0" w:color="000000"/>
            </w:tcBorders>
            <w:vAlign w:val="center"/>
          </w:tcPr>
          <w:p w14:paraId="79CC73D8"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“Awesome! Healthy land, water, and forests benefit everyone, now and in the future.”</w:t>
            </w:r>
          </w:p>
        </w:tc>
        <w:tc>
          <w:tcPr>
            <w:tcW w:w="2705" w:type="dxa"/>
            <w:tcBorders>
              <w:top w:val="single" w:sz="4" w:space="0" w:color="000000"/>
              <w:left w:val="single" w:sz="4" w:space="0" w:color="000000"/>
            </w:tcBorders>
            <w:vAlign w:val="center"/>
          </w:tcPr>
          <w:p w14:paraId="33851869" w14:textId="77777777" w:rsidR="009A7DDE" w:rsidRDefault="009A7DDE" w:rsidP="00CE736A">
            <w:pPr>
              <w:spacing w:line="240" w:lineRule="auto"/>
              <w:rPr>
                <w:rFonts w:ascii="Times New Roman" w:eastAsia="Times New Roman" w:hAnsi="Times New Roman" w:cs="Times New Roman"/>
              </w:rPr>
            </w:pPr>
            <w:r>
              <w:rPr>
                <w:rFonts w:ascii="Times New Roman" w:eastAsia="Times New Roman" w:hAnsi="Times New Roman" w:cs="Times New Roman"/>
              </w:rPr>
              <w:t>“Think long-term. Who depends on shared natural resources?”</w:t>
            </w:r>
          </w:p>
        </w:tc>
      </w:tr>
    </w:tbl>
    <w:p w14:paraId="4ED9A604" w14:textId="77777777" w:rsidR="009A7DDE" w:rsidRDefault="009A7DDE" w:rsidP="009A7DDE">
      <w:pPr>
        <w:spacing w:line="240" w:lineRule="auto"/>
        <w:rPr>
          <w:rFonts w:ascii="Times New Roman" w:eastAsia="Times New Roman" w:hAnsi="Times New Roman" w:cs="Times New Roman"/>
        </w:rPr>
      </w:pPr>
      <w:r>
        <w:pict w14:anchorId="4E9F7B23">
          <v:rect id="_x0000_i1029" style="width:0;height:1.5pt" o:hralign="center" o:hrstd="t" o:hr="t" fillcolor="#a0a0a0" stroked="f"/>
        </w:pict>
      </w:r>
    </w:p>
    <w:p w14:paraId="0EC2B7DB" w14:textId="77777777" w:rsidR="009A7DDE" w:rsidRDefault="009A7DDE" w:rsidP="009A7DD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5F13FC36" w14:textId="77777777" w:rsidR="009A7DDE" w:rsidRDefault="009A7DDE" w:rsidP="009A7DDE">
      <w:pPr>
        <w:spacing w:line="240" w:lineRule="auto"/>
        <w:rPr>
          <w:rFonts w:ascii="Times New Roman" w:eastAsia="Times New Roman" w:hAnsi="Times New Roman" w:cs="Times New Roman"/>
        </w:rPr>
      </w:pPr>
      <w:r>
        <w:rPr>
          <w:rFonts w:ascii="Times New Roman" w:eastAsia="Times New Roman" w:hAnsi="Times New Roman" w:cs="Times New Roman"/>
        </w:rPr>
        <w:t xml:space="preserve">"Excellent sorting, thinker! </w:t>
      </w:r>
      <w:r>
        <w:rPr>
          <w:rFonts w:ascii="Quattrocento Sans" w:eastAsia="Quattrocento Sans" w:hAnsi="Quattrocento Sans" w:cs="Quattrocento Sans"/>
        </w:rPr>
        <w:t>🌟</w:t>
      </w:r>
      <w:r>
        <w:rPr>
          <w:rFonts w:ascii="Times New Roman" w:eastAsia="Times New Roman" w:hAnsi="Times New Roman" w:cs="Times New Roman"/>
        </w:rPr>
        <w:t xml:space="preserve"> You have just seen how solving poverty does not only help one person. It improves schools, jobs, peace, and health for entire communities. Poverty reduction is powerful because it lifts everyone; one family, one society, one future at a time."</w:t>
      </w:r>
    </w:p>
    <w:p w14:paraId="1CBF918A" w14:textId="77777777" w:rsidR="00F02E6C" w:rsidRDefault="009A7DDE" w:rsidP="009A7DDE">
      <w:r>
        <w:pict w14:anchorId="5743D258">
          <v:rect id="_x0000_i1030"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73239"/>
    <w:multiLevelType w:val="multilevel"/>
    <w:tmpl w:val="E55A6E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31052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DE"/>
    <w:rsid w:val="003C2E69"/>
    <w:rsid w:val="006E77A0"/>
    <w:rsid w:val="007A02CA"/>
    <w:rsid w:val="009A7DDE"/>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4EFA"/>
  <w15:chartTrackingRefBased/>
  <w15:docId w15:val="{AB210EE2-5D40-4346-BF1E-6ADB76935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DDE"/>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9A7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DDE"/>
    <w:rPr>
      <w:rFonts w:eastAsiaTheme="majorEastAsia" w:cstheme="majorBidi"/>
      <w:color w:val="272727" w:themeColor="text1" w:themeTint="D8"/>
    </w:rPr>
  </w:style>
  <w:style w:type="paragraph" w:styleId="Title">
    <w:name w:val="Title"/>
    <w:basedOn w:val="Normal"/>
    <w:next w:val="Normal"/>
    <w:link w:val="TitleChar"/>
    <w:uiPriority w:val="10"/>
    <w:qFormat/>
    <w:rsid w:val="009A7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DDE"/>
    <w:pPr>
      <w:spacing w:before="160"/>
      <w:jc w:val="center"/>
    </w:pPr>
    <w:rPr>
      <w:i/>
      <w:iCs/>
      <w:color w:val="404040" w:themeColor="text1" w:themeTint="BF"/>
    </w:rPr>
  </w:style>
  <w:style w:type="character" w:customStyle="1" w:styleId="QuoteChar">
    <w:name w:val="Quote Char"/>
    <w:basedOn w:val="DefaultParagraphFont"/>
    <w:link w:val="Quote"/>
    <w:uiPriority w:val="29"/>
    <w:rsid w:val="009A7DDE"/>
    <w:rPr>
      <w:i/>
      <w:iCs/>
      <w:color w:val="404040" w:themeColor="text1" w:themeTint="BF"/>
    </w:rPr>
  </w:style>
  <w:style w:type="paragraph" w:styleId="ListParagraph">
    <w:name w:val="List Paragraph"/>
    <w:basedOn w:val="Normal"/>
    <w:uiPriority w:val="34"/>
    <w:qFormat/>
    <w:rsid w:val="009A7DDE"/>
    <w:pPr>
      <w:ind w:left="720"/>
      <w:contextualSpacing/>
    </w:pPr>
  </w:style>
  <w:style w:type="character" w:styleId="IntenseEmphasis">
    <w:name w:val="Intense Emphasis"/>
    <w:basedOn w:val="DefaultParagraphFont"/>
    <w:uiPriority w:val="21"/>
    <w:qFormat/>
    <w:rsid w:val="009A7DDE"/>
    <w:rPr>
      <w:i/>
      <w:iCs/>
      <w:color w:val="2F5496" w:themeColor="accent1" w:themeShade="BF"/>
    </w:rPr>
  </w:style>
  <w:style w:type="paragraph" w:styleId="IntenseQuote">
    <w:name w:val="Intense Quote"/>
    <w:basedOn w:val="Normal"/>
    <w:next w:val="Normal"/>
    <w:link w:val="IntenseQuoteChar"/>
    <w:uiPriority w:val="30"/>
    <w:qFormat/>
    <w:rsid w:val="009A7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DDE"/>
    <w:rPr>
      <w:i/>
      <w:iCs/>
      <w:color w:val="2F5496" w:themeColor="accent1" w:themeShade="BF"/>
    </w:rPr>
  </w:style>
  <w:style w:type="character" w:styleId="IntenseReference">
    <w:name w:val="Intense Reference"/>
    <w:basedOn w:val="DefaultParagraphFont"/>
    <w:uiPriority w:val="32"/>
    <w:qFormat/>
    <w:rsid w:val="009A7D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2026-05-25T08:52:00Z</dcterms:created>
  <dcterms:modified xsi:type="dcterms:W3CDTF">2026-05-25T08:52:00Z</dcterms:modified>
</cp:coreProperties>
</file>