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Trauma</w:t>
      </w:r>
      <w:r>
        <w:t xml:space="preserve"> </w:t>
      </w:r>
      <w:r>
        <w:t xml:space="preserve">treatment</w:t>
      </w:r>
      <w:r>
        <w:t xml:space="preserve"> </w:t>
      </w:r>
      <w:r>
        <w:t xml:space="preserve">delay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retrospective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factors</w:t>
      </w:r>
      <w:r>
        <w:t xml:space="preserve"> </w:t>
      </w:r>
      <w:r>
        <w:t xml:space="preserve">affecting</w:t>
      </w:r>
      <w:r>
        <w:t xml:space="preserve"> </w:t>
      </w:r>
      <w:r>
        <w:t xml:space="preserve">the</w:t>
      </w:r>
      <w:r>
        <w:t xml:space="preserve"> </w:t>
      </w:r>
      <w:r>
        <w:t xml:space="preserve">delays</w:t>
      </w:r>
      <w:r>
        <w:t xml:space="preserve"> </w:t>
      </w:r>
      <w:r>
        <w:t xml:space="preserve">in</w:t>
      </w:r>
      <w:r>
        <w:t xml:space="preserve"> </w:t>
      </w:r>
      <w:r>
        <w:t xml:space="preserve">trauma</w:t>
      </w:r>
      <w:r>
        <w:t xml:space="preserve"> </w:t>
      </w:r>
      <w:r>
        <w:t xml:space="preserve">care</w:t>
      </w:r>
    </w:p>
    <w:p>
      <w:pPr>
        <w:pStyle w:val="Author"/>
      </w:pPr>
      <w:r>
        <w:t xml:space="preserve">Anton</w:t>
      </w:r>
      <w:r>
        <w:t xml:space="preserve"> </w:t>
      </w:r>
      <w:r>
        <w:t xml:space="preserve">Wasielewski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Cs/>
          <w:i/>
        </w:rPr>
        <w:t xml:space="preserve">Introduction:</w:t>
      </w:r>
      <w:r>
        <w:t xml:space="preserve"> </w:t>
      </w:r>
      <w:r>
        <w:t xml:space="preserve">Trauma remains a global health challenge, leading to</w:t>
      </w:r>
      <w:r>
        <w:t xml:space="preserve"> </w:t>
      </w:r>
      <w:r>
        <w:t xml:space="preserve">millions of deaths each year. The biggest impact can be seen in low to</w:t>
      </w:r>
      <w:r>
        <w:t xml:space="preserve"> </w:t>
      </w:r>
      <w:r>
        <w:t xml:space="preserve">middle income countries, but in high income countries, trauma systems</w:t>
      </w:r>
      <w:r>
        <w:t xml:space="preserve"> </w:t>
      </w:r>
      <w:r>
        <w:t xml:space="preserve">have been developed to lower the mortality and morbidity associated with</w:t>
      </w:r>
      <w:r>
        <w:t xml:space="preserve"> </w:t>
      </w:r>
      <w:r>
        <w:t xml:space="preserve">trauma. To further improve on these systems, conferences are held to</w:t>
      </w:r>
      <w:r>
        <w:t xml:space="preserve"> </w:t>
      </w:r>
      <w:r>
        <w:t xml:space="preserve">better the care patients receive and to identify errors made, called</w:t>
      </w:r>
      <w:r>
        <w:t xml:space="preserve"> </w:t>
      </w:r>
      <w:r>
        <w:t xml:space="preserve">opportunities for improvement, one of the more common being delayed</w:t>
      </w:r>
      <w:r>
        <w:t xml:space="preserve"> </w:t>
      </w:r>
      <w:r>
        <w:t xml:space="preserve">treatment.</w:t>
      </w:r>
      <w:r>
        <w:t xml:space="preserve"> </w:t>
      </w:r>
      <w:r>
        <w:rPr>
          <w:iCs/>
          <w:i/>
        </w:rPr>
        <w:t xml:space="preserve">Aim:</w:t>
      </w:r>
      <w:r>
        <w:t xml:space="preserve"> </w:t>
      </w:r>
      <w:r>
        <w:t xml:space="preserve">This retrospective cohort study aimed to determine the</w:t>
      </w:r>
      <w:r>
        <w:t xml:space="preserve"> </w:t>
      </w:r>
      <w:r>
        <w:t xml:space="preserve">associations between different patient level factors and receiving</w:t>
      </w:r>
      <w:r>
        <w:t xml:space="preserve"> </w:t>
      </w:r>
      <w:r>
        <w:t xml:space="preserve">delayed treatment.</w:t>
      </w:r>
      <w:r>
        <w:t xml:space="preserve"> </w:t>
      </w:r>
      <w:r>
        <w:rPr>
          <w:iCs/>
          <w:i/>
        </w:rPr>
        <w:t xml:space="preserve">Material and Methods:</w:t>
      </w:r>
      <w:r>
        <w:t xml:space="preserve"> </w:t>
      </w:r>
      <w:r>
        <w:t xml:space="preserve">This study used the database</w:t>
      </w:r>
      <w:r>
        <w:t xml:space="preserve"> </w:t>
      </w:r>
      <w:r>
        <w:t xml:space="preserve">of Karolinska university hospital to run a logistical regression linking</w:t>
      </w:r>
      <w:r>
        <w:t xml:space="preserve"> </w:t>
      </w:r>
      <w:r>
        <w:t xml:space="preserve">the outcome, delayed treatment, to variables, observed patient level</w:t>
      </w:r>
      <w:r>
        <w:t xml:space="preserve"> </w:t>
      </w:r>
      <w:r>
        <w:t xml:space="preserve">factors. Patients treated for trauma at the hospital between 2012 and</w:t>
      </w:r>
      <w:r>
        <w:t xml:space="preserve"> </w:t>
      </w:r>
      <w:r>
        <w:t xml:space="preserve">2022 were included, with ISS&gt;9 and/or trauma code activation. Exclusion</w:t>
      </w:r>
      <w:r>
        <w:t xml:space="preserve"> </w:t>
      </w:r>
      <w:r>
        <w:t xml:space="preserve">criterias were not being screened for OFI and missing values in any of</w:t>
      </w:r>
      <w:r>
        <w:t xml:space="preserve"> </w:t>
      </w:r>
      <w:r>
        <w:t xml:space="preserve">the observed variables.</w:t>
      </w:r>
      <w:r>
        <w:t xml:space="preserve"> </w:t>
      </w:r>
      <w:r>
        <w:rPr>
          <w:iCs/>
          <w:i/>
        </w:rPr>
        <w:t xml:space="preserve">Results:</w:t>
      </w:r>
      <w:r>
        <w:t xml:space="preserve"> </w:t>
      </w:r>
      <w:r>
        <w:t xml:space="preserve">Higher ISS and RR was linked to</w:t>
      </w:r>
      <w:r>
        <w:t xml:space="preserve"> </w:t>
      </w:r>
      <w:r>
        <w:t xml:space="preserve">higher rates of delay in treatment (ISS, OR 1.03, 95% CI 1.01-1.06)(RR,</w:t>
      </w:r>
      <w:r>
        <w:t xml:space="preserve"> </w:t>
      </w:r>
      <w:r>
        <w:t xml:space="preserve">OR 1.04, 95% CI 1.01-1.08), while a lower GCS also was linked to delayed</w:t>
      </w:r>
      <w:r>
        <w:t xml:space="preserve"> </w:t>
      </w:r>
      <w:r>
        <w:t xml:space="preserve">treatment (OR 0.93, 95% CI 0.87-1.00). Number of injuries showed a</w:t>
      </w:r>
      <w:r>
        <w:t xml:space="preserve"> </w:t>
      </w:r>
      <w:r>
        <w:t xml:space="preserve">correlation to higher rates of delay, but not when adjusted for. The</w:t>
      </w:r>
      <w:r>
        <w:t xml:space="preserve"> </w:t>
      </w:r>
      <w:r>
        <w:t xml:space="preserve">remaining variables showed no correlation.</w:t>
      </w:r>
      <w:r>
        <w:t xml:space="preserve"> </w:t>
      </w:r>
      <w:r>
        <w:rPr>
          <w:iCs/>
          <w:i/>
        </w:rPr>
        <w:t xml:space="preserve">Conclusion:</w:t>
      </w:r>
      <w:r>
        <w:t xml:space="preserve"> </w:t>
      </w:r>
      <w:r>
        <w:t xml:space="preserve">Our study</w:t>
      </w:r>
      <w:r>
        <w:t xml:space="preserve"> </w:t>
      </w:r>
      <w:r>
        <w:t xml:space="preserve">suggests that it is mostly more severely injured and less awake patients</w:t>
      </w:r>
      <w:r>
        <w:t xml:space="preserve"> </w:t>
      </w:r>
      <w:r>
        <w:t xml:space="preserve">that receive delayed treatment.</w:t>
      </w:r>
    </w:p>
    <w:p>
      <w:pPr>
        <w:pStyle w:val="BodyText"/>
      </w:pPr>
      <w:r>
        <w:rPr>
          <w:iCs/>
          <w:i/>
        </w:rPr>
        <w:t xml:space="preserve">Inledning:</w:t>
      </w:r>
      <w:r>
        <w:t xml:space="preserve"> </w:t>
      </w:r>
      <w:r>
        <w:t xml:space="preserve">Trauma är fortfarande en global hälsoutmaning som skördar</w:t>
      </w:r>
      <w:r>
        <w:t xml:space="preserve"> </w:t>
      </w:r>
      <w:r>
        <w:t xml:space="preserve">miljontals liv varje år. Den största effekten kan ses i låg till</w:t>
      </w:r>
      <w:r>
        <w:t xml:space="preserve"> </w:t>
      </w:r>
      <w:r>
        <w:t xml:space="preserve">medelinkomstländer, men i höginkomstländer har traumasystem utvecklats</w:t>
      </w:r>
      <w:r>
        <w:t xml:space="preserve"> </w:t>
      </w:r>
      <w:r>
        <w:t xml:space="preserve">för att sänka morbiditeten och mortaliteten relaterat till trauma. För</w:t>
      </w:r>
      <w:r>
        <w:t xml:space="preserve"> </w:t>
      </w:r>
      <w:r>
        <w:t xml:space="preserve">att ytterliggare förbättra dessa system hålls konferenser för att</w:t>
      </w:r>
      <w:r>
        <w:t xml:space="preserve"> </w:t>
      </w:r>
      <w:r>
        <w:t xml:space="preserve">förbättra vården patienter får och identifiera misstag som gjorts, så</w:t>
      </w:r>
      <w:r>
        <w:t xml:space="preserve"> </w:t>
      </w:r>
      <w:r>
        <w:t xml:space="preserve">kallade förbättringsmöjligheter, där försenad vård är en av de</w:t>
      </w:r>
      <w:r>
        <w:t xml:space="preserve"> </w:t>
      </w:r>
      <w:r>
        <w:t xml:space="preserve">vanligaste.</w:t>
      </w:r>
      <w:r>
        <w:t xml:space="preserve"> </w:t>
      </w:r>
      <w:r>
        <w:rPr>
          <w:iCs/>
          <w:i/>
        </w:rPr>
        <w:t xml:space="preserve">Syfte:</w:t>
      </w:r>
      <w:r>
        <w:t xml:space="preserve"> </w:t>
      </w:r>
      <w:r>
        <w:t xml:space="preserve">Denna retrospektiva kohortstudie syftade till att</w:t>
      </w:r>
      <w:r>
        <w:t xml:space="preserve"> </w:t>
      </w:r>
      <w:r>
        <w:t xml:space="preserve">identifiera associationen mellan patientfaktorer och försenad vård.</w:t>
      </w:r>
      <w:r>
        <w:t xml:space="preserve"> </w:t>
      </w:r>
      <w:r>
        <w:rPr>
          <w:iCs/>
          <w:i/>
        </w:rPr>
        <w:t xml:space="preserve">Material och Metod:</w:t>
      </w:r>
      <w:r>
        <w:t xml:space="preserve"> </w:t>
      </w:r>
      <w:r>
        <w:t xml:space="preserve">Denna studie använde Karolinska</w:t>
      </w:r>
      <w:r>
        <w:t xml:space="preserve"> </w:t>
      </w:r>
      <w:r>
        <w:t xml:space="preserve">universitetssjukhusets databas för att köra en logistisk regression som</w:t>
      </w:r>
      <w:r>
        <w:t xml:space="preserve"> </w:t>
      </w:r>
      <w:r>
        <w:t xml:space="preserve">kopplar utfallet, försenad vård, till variabler, observerade</w:t>
      </w:r>
      <w:r>
        <w:t xml:space="preserve"> </w:t>
      </w:r>
      <w:r>
        <w:t xml:space="preserve">patientnivåfaktorer. Patienter som behandlades för trauma på sjukhuset</w:t>
      </w:r>
      <w:r>
        <w:t xml:space="preserve"> </w:t>
      </w:r>
      <w:r>
        <w:t xml:space="preserve">mellan 2012 och 2022 inkluderades, med ISS&gt;9 och/eller</w:t>
      </w:r>
      <w:r>
        <w:t xml:space="preserve"> </w:t>
      </w:r>
      <w:r>
        <w:t xml:space="preserve">traumakodaktivering. Exklusionskriterier var om patient inte screenades</w:t>
      </w:r>
      <w:r>
        <w:t xml:space="preserve"> </w:t>
      </w:r>
      <w:r>
        <w:t xml:space="preserve">för ofi samt om de saknade värden i de undersökta variablerna.</w:t>
      </w:r>
      <w:r>
        <w:t xml:space="preserve"> </w:t>
      </w:r>
      <w:r>
        <w:rPr>
          <w:iCs/>
          <w:i/>
        </w:rPr>
        <w:t xml:space="preserve">Resultat:</w:t>
      </w:r>
      <w:r>
        <w:t xml:space="preserve"> </w:t>
      </w:r>
      <w:r>
        <w:t xml:space="preserve">Högre ISS och AF var kopplade till högre grad av försenad</w:t>
      </w:r>
      <w:r>
        <w:t xml:space="preserve"> </w:t>
      </w:r>
      <w:r>
        <w:t xml:space="preserve">vård (ISS, OR 1.03, 95% CI 1.01-1.06)(RR, OR 1.04, 95% CI 1.01-1.08),</w:t>
      </w:r>
      <w:r>
        <w:t xml:space="preserve"> </w:t>
      </w:r>
      <w:r>
        <w:t xml:space="preserve">medan ett lägre GCS också var kopplad till försenad vård (OR 0.93, 95%</w:t>
      </w:r>
      <w:r>
        <w:t xml:space="preserve"> </w:t>
      </w:r>
      <w:r>
        <w:t xml:space="preserve">CI 0.87-1.00). Antalet skador visade först ett samband med högre</w:t>
      </w:r>
      <w:r>
        <w:t xml:space="preserve"> </w:t>
      </w:r>
      <w:r>
        <w:t xml:space="preserve">förseningsfrekvens, men inte i den justerade analysen. De återstående</w:t>
      </w:r>
      <w:r>
        <w:t xml:space="preserve"> </w:t>
      </w:r>
      <w:r>
        <w:t xml:space="preserve">variablerna visade ingen korrelation.</w:t>
      </w:r>
      <w:r>
        <w:t xml:space="preserve"> </w:t>
      </w:r>
      <w:r>
        <w:rPr>
          <w:iCs/>
          <w:i/>
        </w:rPr>
        <w:t xml:space="preserve">Slutsats</w:t>
      </w:r>
      <w:r>
        <w:t xml:space="preserve">: Vår studie tyder på</w:t>
      </w:r>
      <w:r>
        <w:t xml:space="preserve"> </w:t>
      </w:r>
      <w:r>
        <w:t xml:space="preserve">att det mestadels är svårare skadade och mindre vakna patienter som får</w:t>
      </w:r>
      <w:r>
        <w:t xml:space="preserve"> </w:t>
      </w:r>
      <w:r>
        <w:t xml:space="preserve">försenad behandling.</w:t>
      </w:r>
    </w:p>
    <w:p>
      <w:pPr>
        <w:pStyle w:val="BodyText"/>
      </w:pPr>
      <w:r>
        <w:t xml:space="preserve">Keywords: Trauma, Delay to treatment, Patient factors.</w:t>
      </w:r>
    </w:p>
    <w:bookmarkEnd w:id="20"/>
    <w:bookmarkStart w:id="26" w:name="introduction"/>
    <w:p>
      <w:pPr>
        <w:pStyle w:val="Heading1"/>
      </w:pPr>
      <w:r>
        <w:t xml:space="preserve">Introduction</w:t>
      </w:r>
    </w:p>
    <w:bookmarkStart w:id="21" w:name="definition"/>
    <w:p>
      <w:pPr>
        <w:pStyle w:val="Heading2"/>
      </w:pPr>
      <w:r>
        <w:t xml:space="preserve">Definition</w:t>
      </w:r>
    </w:p>
    <w:p>
      <w:pPr>
        <w:pStyle w:val="FirstParagraph"/>
      </w:pPr>
      <w:r>
        <w:t xml:space="preserve">Trauma, defined as the clinical entity composed of physical injury and</w:t>
      </w:r>
      <w:r>
        <w:t xml:space="preserve"> </w:t>
      </w:r>
      <w:r>
        <w:t xml:space="preserve">the body’s associated response</w:t>
      </w:r>
      <w:r>
        <w:t xml:space="preserve"> </w:t>
      </w:r>
      <w:r>
        <w:t xml:space="preserve">(1)</w:t>
      </w:r>
      <w:r>
        <w:t xml:space="preserve">, is and has long been</w:t>
      </w:r>
      <w:r>
        <w:t xml:space="preserve"> </w:t>
      </w:r>
      <w:r>
        <w:t xml:space="preserve">a major cause of death around the world</w:t>
      </w:r>
      <w:r>
        <w:t xml:space="preserve"> </w:t>
      </w:r>
      <w:r>
        <w:t xml:space="preserve">(2)</w:t>
      </w:r>
      <w:r>
        <w:t xml:space="preserve">. The trauma system</w:t>
      </w:r>
      <w:r>
        <w:t xml:space="preserve"> </w:t>
      </w:r>
      <w:r>
        <w:t xml:space="preserve">plays an important part in modern healthcare and has shown to lower</w:t>
      </w:r>
      <w:r>
        <w:t xml:space="preserve"> </w:t>
      </w:r>
      <w:r>
        <w:t xml:space="preserve">mortality and morbidity in injured patients through many means, such as</w:t>
      </w:r>
      <w:r>
        <w:t xml:space="preserve"> </w:t>
      </w:r>
      <w:r>
        <w:t xml:space="preserve">hospital care, patient follow up and prevention programs</w:t>
      </w:r>
      <w:r>
        <w:t xml:space="preserve"> </w:t>
      </w:r>
      <w:r>
        <w:t xml:space="preserve">(3)</w:t>
      </w:r>
      <w:r>
        <w:t xml:space="preserve">.</w:t>
      </w:r>
    </w:p>
    <w:bookmarkEnd w:id="21"/>
    <w:bookmarkStart w:id="22" w:name="trauma-globally"/>
    <w:p>
      <w:pPr>
        <w:pStyle w:val="Heading2"/>
      </w:pPr>
      <w:r>
        <w:t xml:space="preserve">Trauma globally</w:t>
      </w:r>
    </w:p>
    <w:p>
      <w:pPr>
        <w:pStyle w:val="FirstParagraph"/>
      </w:pPr>
      <w:r>
        <w:t xml:space="preserve">Trauma is often divided into two subgroups, blunt force trauma and</w:t>
      </w:r>
      <w:r>
        <w:t xml:space="preserve"> </w:t>
      </w:r>
      <w:r>
        <w:t xml:space="preserve">penetrating trauma. Blunt force trauma is when an object or force</w:t>
      </w:r>
      <w:r>
        <w:t xml:space="preserve"> </w:t>
      </w:r>
      <w:r>
        <w:t xml:space="preserve">strikes the body, often causing bruising, broken bones or deep cuts.</w:t>
      </w:r>
      <w:r>
        <w:t xml:space="preserve"> </w:t>
      </w:r>
      <w:r>
        <w:t xml:space="preserve">Examples of blunt trauma could be car crashes, falls or direct blows to</w:t>
      </w:r>
      <w:r>
        <w:t xml:space="preserve"> </w:t>
      </w:r>
      <w:r>
        <w:t xml:space="preserve">the body. Penetrating trauma is when an object pierces the skin or body</w:t>
      </w:r>
      <w:r>
        <w:t xml:space="preserve"> </w:t>
      </w:r>
      <w:r>
        <w:t xml:space="preserve">and creates an open wound. Examples of penetrating trauma are gunshot</w:t>
      </w:r>
      <w:r>
        <w:t xml:space="preserve"> </w:t>
      </w:r>
      <w:r>
        <w:t xml:space="preserve">wounds and stab wounds</w:t>
      </w:r>
      <w:r>
        <w:t xml:space="preserve"> </w:t>
      </w:r>
      <w:r>
        <w:t xml:space="preserve">(4)</w:t>
      </w:r>
      <w:r>
        <w:t xml:space="preserve">. Differences exist between the two</w:t>
      </w:r>
      <w:r>
        <w:t xml:space="preserve"> </w:t>
      </w:r>
      <w:r>
        <w:t xml:space="preserve">groups, as blunt trauma patients tend to be more injured on arrival to</w:t>
      </w:r>
      <w:r>
        <w:t xml:space="preserve"> </w:t>
      </w:r>
      <w:r>
        <w:t xml:space="preserve">the hospital and as such, require more resources and are hospitalized</w:t>
      </w:r>
      <w:r>
        <w:t xml:space="preserve"> </w:t>
      </w:r>
      <w:r>
        <w:t xml:space="preserve">for a longer periods</w:t>
      </w:r>
      <w:r>
        <w:t xml:space="preserve"> </w:t>
      </w:r>
      <w:r>
        <w:t xml:space="preserve">(5)</w:t>
      </w:r>
      <w:r>
        <w:t xml:space="preserve">.</w:t>
      </w:r>
    </w:p>
    <w:p>
      <w:pPr>
        <w:pStyle w:val="BodyText"/>
      </w:pPr>
      <w:r>
        <w:t xml:space="preserve">Today, trauma takes the lives of around 4,4 million people each year,</w:t>
      </w:r>
      <w:r>
        <w:t xml:space="preserve"> </w:t>
      </w:r>
      <w:r>
        <w:t xml:space="preserve">almost 8% of all deaths</w:t>
      </w:r>
      <w:r>
        <w:t xml:space="preserve"> </w:t>
      </w:r>
      <w:r>
        <w:t xml:space="preserve">(2)</w:t>
      </w:r>
      <w:r>
        <w:t xml:space="preserve">. In the United States, trauma is the</w:t>
      </w:r>
      <w:r>
        <w:t xml:space="preserve"> </w:t>
      </w:r>
      <w:r>
        <w:t xml:space="preserve">4th leading cause of death among the general population and the leading</w:t>
      </w:r>
      <w:r>
        <w:t xml:space="preserve"> </w:t>
      </w:r>
      <w:r>
        <w:t xml:space="preserve">cause for people between the ages of 1 and 44</w:t>
      </w:r>
      <w:r>
        <w:t xml:space="preserve"> </w:t>
      </w:r>
      <w:r>
        <w:t xml:space="preserve">(6)</w:t>
      </w:r>
      <w:r>
        <w:t xml:space="preserve">. It is also</w:t>
      </w:r>
      <w:r>
        <w:t xml:space="preserve"> </w:t>
      </w:r>
      <w:r>
        <w:t xml:space="preserve">an important cause of hospitalization and morbidity among all age</w:t>
      </w:r>
      <w:r>
        <w:t xml:space="preserve"> </w:t>
      </w:r>
      <w:r>
        <w:t xml:space="preserve">groups, including seniors, and is responsible for an estimated 10% of</w:t>
      </w:r>
      <w:r>
        <w:t xml:space="preserve"> </w:t>
      </w:r>
      <w:r>
        <w:t xml:space="preserve">all years lived with a disability globally. This has a significant</w:t>
      </w:r>
      <w:r>
        <w:t xml:space="preserve"> </w:t>
      </w:r>
      <w:r>
        <w:t xml:space="preserve">burden on social and economic level, costing countries billions of US</w:t>
      </w:r>
      <w:r>
        <w:t xml:space="preserve"> </w:t>
      </w:r>
      <w:r>
        <w:t xml:space="preserve">dollars each year in healthcare and lost productivity</w:t>
      </w:r>
      <w:r>
        <w:t xml:space="preserve"> </w:t>
      </w:r>
      <w:r>
        <w:t xml:space="preserve">(7)</w:t>
      </w:r>
      <w:r>
        <w:t xml:space="preserve">.</w:t>
      </w:r>
      <w:r>
        <w:t xml:space="preserve"> </w:t>
      </w:r>
      <w:r>
        <w:t xml:space="preserve">Studies estimate the cost of trauma care being between 18,500$ and</w:t>
      </w:r>
      <w:r>
        <w:t xml:space="preserve"> </w:t>
      </w:r>
      <w:r>
        <w:t xml:space="preserve">41,500$ per patient in high income countries (HIC), depending on the</w:t>
      </w:r>
      <w:r>
        <w:t xml:space="preserve"> </w:t>
      </w:r>
      <w:r>
        <w:t xml:space="preserve">country</w:t>
      </w:r>
      <w:r>
        <w:t xml:space="preserve"> </w:t>
      </w:r>
      <w:r>
        <w:t xml:space="preserve">(8)</w:t>
      </w:r>
      <w:r>
        <w:t xml:space="preserve">.However, it has been shown that this burden</w:t>
      </w:r>
      <w:r>
        <w:t xml:space="preserve"> </w:t>
      </w:r>
      <w:r>
        <w:t xml:space="preserve">is not evenly distributed between or within countries.</w:t>
      </w:r>
    </w:p>
    <w:p>
      <w:pPr>
        <w:pStyle w:val="BodyText"/>
      </w:pPr>
      <w:r>
        <w:t xml:space="preserve">Many social factors such as age, sex and social status play a major role</w:t>
      </w:r>
      <w:r>
        <w:t xml:space="preserve"> </w:t>
      </w:r>
      <w:r>
        <w:t xml:space="preserve">in the risk of dying from trauma, with young men with low socio-economic</w:t>
      </w:r>
      <w:r>
        <w:t xml:space="preserve"> </w:t>
      </w:r>
      <w:r>
        <w:t xml:space="preserve">status being at most risk</w:t>
      </w:r>
      <w:r>
        <w:t xml:space="preserve"> </w:t>
      </w:r>
      <w:r>
        <w:t xml:space="preserve">(2)</w:t>
      </w:r>
      <w:r>
        <w:t xml:space="preserve">. But it is not only patient level</w:t>
      </w:r>
      <w:r>
        <w:t xml:space="preserve"> </w:t>
      </w:r>
      <w:r>
        <w:t xml:space="preserve">factors that affect what effect trauma has on people. About 90% of all</w:t>
      </w:r>
      <w:r>
        <w:t xml:space="preserve"> </w:t>
      </w:r>
      <w:r>
        <w:t xml:space="preserve">trauma related deaths occur in low- and middle-income countries (LMIC),</w:t>
      </w:r>
      <w:r>
        <w:t xml:space="preserve"> </w:t>
      </w:r>
      <w:r>
        <w:t xml:space="preserve">with death rates by trauma also being higher than in HIC. Even within</w:t>
      </w:r>
      <w:r>
        <w:t xml:space="preserve"> </w:t>
      </w:r>
      <w:r>
        <w:t xml:space="preserve">these LMIC, people of poorer socio-economic status have higher death</w:t>
      </w:r>
      <w:r>
        <w:t xml:space="preserve"> </w:t>
      </w:r>
      <w:r>
        <w:t xml:space="preserve">rates from trauma. Problems identified within these countries that</w:t>
      </w:r>
      <w:r>
        <w:t xml:space="preserve"> </w:t>
      </w:r>
      <w:r>
        <w:t xml:space="preserve">contribute to these statisitics were infrastructure, education and</w:t>
      </w:r>
      <w:r>
        <w:t xml:space="preserve"> </w:t>
      </w:r>
      <w:r>
        <w:t xml:space="preserve">training, attributed to lack of funding, brain drain to HIC and lack of</w:t>
      </w:r>
      <w:r>
        <w:t xml:space="preserve"> </w:t>
      </w:r>
      <w:r>
        <w:t xml:space="preserve">availability of basic amenities</w:t>
      </w:r>
      <w:r>
        <w:t xml:space="preserve"> </w:t>
      </w:r>
      <w:r>
        <w:t xml:space="preserve">(9)</w:t>
      </w:r>
      <w:r>
        <w:t xml:space="preserve">. In HIC where</w:t>
      </w:r>
      <w:r>
        <w:t xml:space="preserve"> </w:t>
      </w:r>
      <w:r>
        <w:t xml:space="preserve">funding and governance over the healthcare system is better designed,</w:t>
      </w:r>
      <w:r>
        <w:t xml:space="preserve"> </w:t>
      </w:r>
      <w:r>
        <w:t xml:space="preserve">functioning trauma systems and dedicated trauma centers exist that have</w:t>
      </w:r>
      <w:r>
        <w:t xml:space="preserve"> </w:t>
      </w:r>
      <w:r>
        <w:t xml:space="preserve">been shown to lower mortality but also improve functional outcome in</w:t>
      </w:r>
      <w:r>
        <w:t xml:space="preserve"> </w:t>
      </w:r>
      <w:r>
        <w:t xml:space="preserve">trauma patients</w:t>
      </w:r>
      <w:r>
        <w:t xml:space="preserve"> </w:t>
      </w:r>
      <w:r>
        <w:t xml:space="preserve">(10)</w:t>
      </w:r>
      <w:r>
        <w:t xml:space="preserve">.</w:t>
      </w:r>
    </w:p>
    <w:bookmarkEnd w:id="22"/>
    <w:bookmarkStart w:id="23" w:name="trauma-systems"/>
    <w:p>
      <w:pPr>
        <w:pStyle w:val="Heading2"/>
      </w:pPr>
      <w:r>
        <w:t xml:space="preserve">Trauma systems</w:t>
      </w:r>
    </w:p>
    <w:p>
      <w:pPr>
        <w:pStyle w:val="FirstParagraph"/>
      </w:pPr>
      <w:r>
        <w:t xml:space="preserve">Trauma systems are infrastructures that exist to provide and optimize</w:t>
      </w:r>
      <w:r>
        <w:t xml:space="preserve"> </w:t>
      </w:r>
      <w:r>
        <w:t xml:space="preserve">care for injured patients starting with injury recognition and triage,</w:t>
      </w:r>
      <w:r>
        <w:t xml:space="preserve"> </w:t>
      </w:r>
      <w:r>
        <w:t xml:space="preserve">transport to appropriate trauma center, inpatient care and outpatient</w:t>
      </w:r>
      <w:r>
        <w:t xml:space="preserve"> </w:t>
      </w:r>
      <w:r>
        <w:t xml:space="preserve">follow-up. Beyond the clinical side, trauma systems work with outreach,</w:t>
      </w:r>
      <w:r>
        <w:t xml:space="preserve"> </w:t>
      </w:r>
      <w:r>
        <w:t xml:space="preserve">education and advocacy, data collection through registries, research,</w:t>
      </w:r>
      <w:r>
        <w:t xml:space="preserve"> </w:t>
      </w:r>
      <w:r>
        <w:t xml:space="preserve">funding, and disaster preparedness and response. A comprehensive and</w:t>
      </w:r>
      <w:r>
        <w:t xml:space="preserve"> </w:t>
      </w:r>
      <w:r>
        <w:t xml:space="preserve">functioning trauma system requires strong leadership and engagement at</w:t>
      </w:r>
      <w:r>
        <w:t xml:space="preserve"> </w:t>
      </w:r>
      <w:r>
        <w:t xml:space="preserve">the trauma center, regional and national level</w:t>
      </w:r>
      <w:r>
        <w:t xml:space="preserve"> </w:t>
      </w:r>
      <w:r>
        <w:t xml:space="preserve">(7)</w:t>
      </w:r>
      <w:r>
        <w:t xml:space="preserve">. This</w:t>
      </w:r>
      <w:r>
        <w:t xml:space="preserve"> </w:t>
      </w:r>
      <w:r>
        <w:t xml:space="preserve">system is crucial to provide care for trauma patients, both in reducing</w:t>
      </w:r>
      <w:r>
        <w:t xml:space="preserve"> </w:t>
      </w:r>
      <w:r>
        <w:t xml:space="preserve">morbidity and mortality in this patient group. Earlier studies from</w:t>
      </w:r>
      <w:r>
        <w:t xml:space="preserve"> </w:t>
      </w:r>
      <w:r>
        <w:t xml:space="preserve">Sweden have shown that treating severely injured patients at a trauma</w:t>
      </w:r>
      <w:r>
        <w:t xml:space="preserve"> </w:t>
      </w:r>
      <w:r>
        <w:t xml:space="preserve">center is associated with a 41% lower adjusted 30-day mortality rate</w:t>
      </w:r>
      <w:r>
        <w:t xml:space="preserve"> </w:t>
      </w:r>
      <w:r>
        <w:t xml:space="preserve">compared to being treated at a non trauma care center due to them being</w:t>
      </w:r>
      <w:r>
        <w:t xml:space="preserve"> </w:t>
      </w:r>
      <w:r>
        <w:t xml:space="preserve">more capable of treating these patients, with potential survival benefit</w:t>
      </w:r>
      <w:r>
        <w:t xml:space="preserve"> </w:t>
      </w:r>
      <w:r>
        <w:t xml:space="preserve">increasing with higher injury severity</w:t>
      </w:r>
      <w:r>
        <w:t xml:space="preserve"> </w:t>
      </w:r>
      <w:r>
        <w:t xml:space="preserve">(11)</w:t>
      </w:r>
      <w:r>
        <w:t xml:space="preserve">. Other studies</w:t>
      </w:r>
      <w:r>
        <w:t xml:space="preserve"> </w:t>
      </w:r>
      <w:r>
        <w:t xml:space="preserve">have shown similar results, showing that treating injured patients at</w:t>
      </w:r>
      <w:r>
        <w:t xml:space="preserve"> </w:t>
      </w:r>
      <w:r>
        <w:t xml:space="preserve">trauma centers is associated with a 15-30% decrease in mortality</w:t>
      </w:r>
      <w:r>
        <w:t xml:space="preserve"> </w:t>
      </w:r>
      <w:r>
        <w:t xml:space="preserve">(12–15)</w:t>
      </w:r>
      <w:r>
        <w:t xml:space="preserve">.</w:t>
      </w:r>
    </w:p>
    <w:p>
      <w:pPr>
        <w:pStyle w:val="BodyText"/>
      </w:pPr>
      <w:r>
        <w:t xml:space="preserve">During the last three decades, the introduction of trauma systems has</w:t>
      </w:r>
      <w:r>
        <w:t xml:space="preserve"> </w:t>
      </w:r>
      <w:r>
        <w:t xml:space="preserve">contributed to lowering the incidence of preventable death. This is</w:t>
      </w:r>
      <w:r>
        <w:t xml:space="preserve"> </w:t>
      </w:r>
      <w:r>
        <w:t xml:space="preserve">attributed to the improvements in care for acute brain injuries and</w:t>
      </w:r>
      <w:r>
        <w:t xml:space="preserve"> </w:t>
      </w:r>
      <w:r>
        <w:t xml:space="preserve">bleeding control. The incidence of late death because of sepsis and</w:t>
      </w:r>
      <w:r>
        <w:t xml:space="preserve"> </w:t>
      </w:r>
      <w:r>
        <w:t xml:space="preserve">multiple organ failure has also been lowered, possibly a result of</w:t>
      </w:r>
      <w:r>
        <w:t xml:space="preserve"> </w:t>
      </w:r>
      <w:r>
        <w:t xml:space="preserve">better and earlier resuscitation</w:t>
      </w:r>
      <w:r>
        <w:t xml:space="preserve"> </w:t>
      </w:r>
      <w:r>
        <w:t xml:space="preserve">(16)</w:t>
      </w:r>
      <w:r>
        <w:t xml:space="preserve">. Functioning trauma</w:t>
      </w:r>
      <w:r>
        <w:t xml:space="preserve"> </w:t>
      </w:r>
      <w:r>
        <w:t xml:space="preserve">systems saves lives in the hospital, but their work outside of the</w:t>
      </w:r>
      <w:r>
        <w:t xml:space="preserve"> </w:t>
      </w:r>
      <w:r>
        <w:t xml:space="preserve">hospital is just as important. Data collection from injured patients,</w:t>
      </w:r>
      <w:r>
        <w:t xml:space="preserve"> </w:t>
      </w:r>
      <w:r>
        <w:t xml:space="preserve">such as mechanism of injury or mortality, are essential for creating</w:t>
      </w:r>
      <w:r>
        <w:t xml:space="preserve"> </w:t>
      </w:r>
      <w:r>
        <w:t xml:space="preserve">databases that can be used for research. In turn, that research can be</w:t>
      </w:r>
      <w:r>
        <w:t xml:space="preserve"> </w:t>
      </w:r>
      <w:r>
        <w:t xml:space="preserve">used for planning injury prevention programs that target the most common</w:t>
      </w:r>
      <w:r>
        <w:t xml:space="preserve"> </w:t>
      </w:r>
      <w:r>
        <w:t xml:space="preserve">injuries in the most efficient ways, e.g. teen drivers, children,</w:t>
      </w:r>
      <w:r>
        <w:t xml:space="preserve"> </w:t>
      </w:r>
      <w:r>
        <w:t xml:space="preserve">specific occupations etc. These injury prevention programs can be</w:t>
      </w:r>
      <w:r>
        <w:t xml:space="preserve"> </w:t>
      </w:r>
      <w:r>
        <w:t xml:space="preserve">planned on trauma center, organizational or government level</w:t>
      </w:r>
      <w:r>
        <w:t xml:space="preserve">(17)</w:t>
      </w:r>
      <w:r>
        <w:t xml:space="preserve">.</w:t>
      </w:r>
    </w:p>
    <w:p>
      <w:pPr>
        <w:pStyle w:val="BodyText"/>
      </w:pPr>
      <w:r>
        <w:t xml:space="preserve">Trauma teams are multidisciplinary and operate in these centers. They</w:t>
      </w:r>
      <w:r>
        <w:t xml:space="preserve"> </w:t>
      </w:r>
      <w:r>
        <w:t xml:space="preserve">play a pivotal role in the treatment of the trauma patient, as they</w:t>
      </w:r>
      <w:r>
        <w:t xml:space="preserve"> </w:t>
      </w:r>
      <w:r>
        <w:t xml:space="preserve">provide the initial care in the critical stage of trauma. In Sweden,</w:t>
      </w:r>
      <w:r>
        <w:t xml:space="preserve"> </w:t>
      </w:r>
      <w:r>
        <w:t xml:space="preserve">trauma teams are lead by a team leader who is a surgeon, and include</w:t>
      </w:r>
      <w:r>
        <w:t xml:space="preserve"> </w:t>
      </w:r>
      <w:r>
        <w:t xml:space="preserve">practitioners from the specialities of intensive care, orthopedics,</w:t>
      </w:r>
      <w:r>
        <w:t xml:space="preserve"> </w:t>
      </w:r>
      <w:r>
        <w:t xml:space="preserve">nursing and support staff</w:t>
      </w:r>
      <w:r>
        <w:t xml:space="preserve">(18)</w:t>
      </w:r>
      <w:r>
        <w:t xml:space="preserve">. For the trauma team to be</w:t>
      </w:r>
      <w:r>
        <w:t xml:space="preserve"> </w:t>
      </w:r>
      <w:r>
        <w:t xml:space="preserve">mobilized, a trauma code has to be activated, often by an emergency</w:t>
      </w:r>
      <w:r>
        <w:t xml:space="preserve"> </w:t>
      </w:r>
      <w:r>
        <w:t xml:space="preserve">nurse. The nurse uses information gathered by the first responders to</w:t>
      </w:r>
      <w:r>
        <w:t xml:space="preserve"> </w:t>
      </w:r>
      <w:r>
        <w:t xml:space="preserve">assess if the patient fits any of the criteria for trauma code. Most</w:t>
      </w:r>
      <w:r>
        <w:t xml:space="preserve"> </w:t>
      </w:r>
      <w:r>
        <w:t xml:space="preserve">healthcare facilities have established criteria or guidelines that</w:t>
      </w:r>
      <w:r>
        <w:t xml:space="preserve"> </w:t>
      </w:r>
      <w:r>
        <w:t xml:space="preserve">trigger trauma code activation. These criteria typically include</w:t>
      </w:r>
      <w:r>
        <w:t xml:space="preserve"> </w:t>
      </w:r>
      <w:r>
        <w:t xml:space="preserve">mechanisms of injury, physiological criteria, anatomical criteria and</w:t>
      </w:r>
      <w:r>
        <w:t xml:space="preserve"> </w:t>
      </w:r>
      <w:r>
        <w:t xml:space="preserve">other specific indicators of severe trauma. There are different levels</w:t>
      </w:r>
      <w:r>
        <w:t xml:space="preserve"> </w:t>
      </w:r>
      <w:r>
        <w:t xml:space="preserve">of trauma code with different criteria correlating with severity of</w:t>
      </w:r>
      <w:r>
        <w:t xml:space="preserve"> </w:t>
      </w:r>
      <w:r>
        <w:t xml:space="preserve">injury, with level 1 mobilizing the most personnel to the trauma room.</w:t>
      </w:r>
      <w:r>
        <w:t xml:space="preserve"> </w:t>
      </w:r>
      <w:r>
        <w:t xml:space="preserve">Once in the trauma room, the team works systematically to manage the</w:t>
      </w:r>
      <w:r>
        <w:t xml:space="preserve"> </w:t>
      </w:r>
      <w:r>
        <w:t xml:space="preserve">patients injuries. They handle the most urgent problems first, such as</w:t>
      </w:r>
      <w:r>
        <w:t xml:space="preserve"> </w:t>
      </w:r>
      <w:r>
        <w:t xml:space="preserve">airways and breathing, with the aim to rapidly assess and stabilise the</w:t>
      </w:r>
      <w:r>
        <w:t xml:space="preserve"> </w:t>
      </w:r>
      <w:r>
        <w:t xml:space="preserve">patient, prioritise their injuries and arrange for site of definitive</w:t>
      </w:r>
      <w:r>
        <w:t xml:space="preserve"> </w:t>
      </w:r>
      <w:r>
        <w:t xml:space="preserve">care.</w:t>
      </w:r>
      <w:r>
        <w:t xml:space="preserve"> </w:t>
      </w:r>
      <w:r>
        <w:t xml:space="preserve">(19)</w:t>
      </w:r>
    </w:p>
    <w:bookmarkEnd w:id="23"/>
    <w:bookmarkStart w:id="24" w:name="opportunities-for-improvement"/>
    <w:p>
      <w:pPr>
        <w:pStyle w:val="Heading2"/>
      </w:pPr>
      <w:r>
        <w:t xml:space="preserve">Opportunities for improvement</w:t>
      </w:r>
    </w:p>
    <w:p>
      <w:pPr>
        <w:pStyle w:val="FirstParagraph"/>
      </w:pPr>
      <w:r>
        <w:t xml:space="preserve">Many hospitals have a trauma registry where they log the patients</w:t>
      </w:r>
      <w:r>
        <w:t xml:space="preserve"> </w:t>
      </w:r>
      <w:r>
        <w:t xml:space="preserve">information and timeline of what happened. The extent of the registry</w:t>
      </w:r>
      <w:r>
        <w:t xml:space="preserve"> </w:t>
      </w:r>
      <w:r>
        <w:t xml:space="preserve">varies, with HIC having more complete registries. In Sweden, 48 out of</w:t>
      </w:r>
      <w:r>
        <w:t xml:space="preserve"> </w:t>
      </w:r>
      <w:r>
        <w:t xml:space="preserve">the 49 hospitals receiving trauma patients are connected to the national</w:t>
      </w:r>
      <w:r>
        <w:t xml:space="preserve"> </w:t>
      </w:r>
      <w:r>
        <w:t xml:space="preserve">registry SweTrau, which functions as a national database designed to</w:t>
      </w:r>
      <w:r>
        <w:t xml:space="preserve"> </w:t>
      </w:r>
      <w:r>
        <w:t xml:space="preserve">enable scientific processing with epidemiological technology</w:t>
      </w:r>
      <w:r>
        <w:t xml:space="preserve"> </w:t>
      </w:r>
      <w:r>
        <w:t xml:space="preserve">(20)</w:t>
      </w:r>
      <w:r>
        <w:t xml:space="preserve"> </w:t>
      </w:r>
      <w:r>
        <w:t xml:space="preserve">This logging of information is important work, as a</w:t>
      </w:r>
      <w:r>
        <w:t xml:space="preserve"> </w:t>
      </w:r>
      <w:r>
        <w:t xml:space="preserve">cornerstone of trauma quality improvement programs is multidisciplinary</w:t>
      </w:r>
      <w:r>
        <w:t xml:space="preserve"> </w:t>
      </w:r>
      <w:r>
        <w:t xml:space="preserve">MoM conferences. The MoM conference is a meeting where different</w:t>
      </w:r>
      <w:r>
        <w:t xml:space="preserve"> </w:t>
      </w:r>
      <w:r>
        <w:t xml:space="preserve">specialities who work with trauma care sit down and discuss deaths and</w:t>
      </w:r>
      <w:r>
        <w:t xml:space="preserve"> </w:t>
      </w:r>
      <w:r>
        <w:t xml:space="preserve">complications in order to look for preventable factors. These</w:t>
      </w:r>
      <w:r>
        <w:t xml:space="preserve"> </w:t>
      </w:r>
      <w:r>
        <w:t xml:space="preserve">conferences are performed in many hospitals globally, almost everywhere</w:t>
      </w:r>
      <w:r>
        <w:t xml:space="preserve"> </w:t>
      </w:r>
      <w:r>
        <w:t xml:space="preserve">where there are formal medical specialty departments and sometimes in</w:t>
      </w:r>
      <w:r>
        <w:t xml:space="preserve"> </w:t>
      </w:r>
      <w:r>
        <w:t xml:space="preserve">smaller hospitals as well</w:t>
      </w:r>
      <w:r>
        <w:t xml:space="preserve"> </w:t>
      </w:r>
      <w:r>
        <w:t xml:space="preserve">(21)</w:t>
      </w:r>
      <w:r>
        <w:t xml:space="preserve">. In Sweden, many hospitals have</w:t>
      </w:r>
      <w:r>
        <w:t xml:space="preserve"> </w:t>
      </w:r>
      <w:r>
        <w:t xml:space="preserve">mortality conferences on deceased patient cases, but only one has MoM</w:t>
      </w:r>
      <w:r>
        <w:t xml:space="preserve"> </w:t>
      </w:r>
      <w:r>
        <w:t xml:space="preserve">conferences to better their trauma care on patients who lived</w:t>
      </w:r>
      <w:r>
        <w:t xml:space="preserve"> </w:t>
      </w:r>
      <w:r>
        <w:t xml:space="preserve">(22)</w:t>
      </w:r>
      <w:r>
        <w:t xml:space="preserve">. The reason being that this expansion of MoM conferences</w:t>
      </w:r>
      <w:r>
        <w:t xml:space="preserve"> </w:t>
      </w:r>
      <w:r>
        <w:t xml:space="preserve">takes time and resources, which is why all hospitals don’t implement</w:t>
      </w:r>
      <w:r>
        <w:t xml:space="preserve"> </w:t>
      </w:r>
      <w:r>
        <w:t xml:space="preserve">this.</w:t>
      </w:r>
    </w:p>
    <w:p>
      <w:pPr>
        <w:pStyle w:val="BodyText"/>
      </w:pPr>
      <w:r>
        <w:t xml:space="preserve">The endpoint of these MoM conferences are opportunities for improvement</w:t>
      </w:r>
      <w:r>
        <w:t xml:space="preserve"> </w:t>
      </w:r>
      <w:r>
        <w:t xml:space="preserve">(OFI). At the end of the conference, consensus is reached regarding the</w:t>
      </w:r>
      <w:r>
        <w:t xml:space="preserve"> </w:t>
      </w:r>
      <w:r>
        <w:t xml:space="preserve">existence of an OFI and implementation of corrective action. This</w:t>
      </w:r>
      <w:r>
        <w:t xml:space="preserve"> </w:t>
      </w:r>
      <w:r>
        <w:t xml:space="preserve">process is effective, as it has been shown that this review is</w:t>
      </w:r>
      <w:r>
        <w:t xml:space="preserve"> </w:t>
      </w:r>
      <w:r>
        <w:t xml:space="preserve">associated with high-quality trauma care</w:t>
      </w:r>
      <w:r>
        <w:t xml:space="preserve"> </w:t>
      </w:r>
      <w:r>
        <w:t xml:space="preserve">(23)</w:t>
      </w:r>
      <w:r>
        <w:t xml:space="preserve">. Examples of</w:t>
      </w:r>
      <w:r>
        <w:t xml:space="preserve"> </w:t>
      </w:r>
      <w:r>
        <w:t xml:space="preserve">OFI may include lack of resources and management errors. One common OFI</w:t>
      </w:r>
      <w:r>
        <w:t xml:space="preserve"> </w:t>
      </w:r>
      <w:r>
        <w:t xml:space="preserve">is delayed treatment. According to previous studies, among the</w:t>
      </w:r>
      <w:r>
        <w:t xml:space="preserve"> </w:t>
      </w:r>
      <w:r>
        <w:t xml:space="preserve">preventable or possibly preventable deaths in trauma patients, delay in</w:t>
      </w:r>
      <w:r>
        <w:t xml:space="preserve"> </w:t>
      </w:r>
      <w:r>
        <w:t xml:space="preserve">treatment has been identified as a major error contributing to death,</w:t>
      </w:r>
      <w:r>
        <w:t xml:space="preserve"> </w:t>
      </w:r>
      <w:r>
        <w:t xml:space="preserve">found in up to 52.9% of patients in said group</w:t>
      </w:r>
      <w:r>
        <w:t xml:space="preserve"> </w:t>
      </w:r>
      <w:r>
        <w:t xml:space="preserve">(24)</w:t>
      </w:r>
      <w:r>
        <w:t xml:space="preserve">. Delayed</w:t>
      </w:r>
      <w:r>
        <w:t xml:space="preserve"> </w:t>
      </w:r>
      <w:r>
        <w:t xml:space="preserve">treatment has been shown to have adverse effects on patients, showing</w:t>
      </w:r>
      <w:r>
        <w:t xml:space="preserve"> </w:t>
      </w:r>
      <w:r>
        <w:t xml:space="preserve">why it is such an important issue and the need to develop strategies to</w:t>
      </w:r>
      <w:r>
        <w:t xml:space="preserve"> </w:t>
      </w:r>
      <w:r>
        <w:t xml:space="preserve">combat</w:t>
      </w:r>
      <w:r>
        <w:t xml:space="preserve"> </w:t>
      </w:r>
      <w:r>
        <w:t xml:space="preserve">(25,26)</w:t>
      </w:r>
      <w:r>
        <w:t xml:space="preserve">. Although it is such a common</w:t>
      </w:r>
      <w:r>
        <w:t xml:space="preserve"> </w:t>
      </w:r>
      <w:r>
        <w:t xml:space="preserve">OFI, the patient level factors associated with delayed treatment are</w:t>
      </w:r>
      <w:r>
        <w:t xml:space="preserve"> </w:t>
      </w:r>
      <w:r>
        <w:t xml:space="preserve">poorly understood. There may be several factors that correlate with</w:t>
      </w:r>
      <w:r>
        <w:t xml:space="preserve"> </w:t>
      </w:r>
      <w:r>
        <w:t xml:space="preserve">receiving delayed treatment, but they have yet to be identified. Mapping</w:t>
      </w:r>
      <w:r>
        <w:t xml:space="preserve"> </w:t>
      </w:r>
      <w:r>
        <w:t xml:space="preserve">these factors may help in identifying patients that might be at risk for</w:t>
      </w:r>
      <w:r>
        <w:t xml:space="preserve"> </w:t>
      </w:r>
      <w:r>
        <w:t xml:space="preserve">receiving delayed treatment before it happens.</w:t>
      </w:r>
    </w:p>
    <w:bookmarkEnd w:id="24"/>
    <w:bookmarkStart w:id="25" w:name="aim"/>
    <w:p>
      <w:pPr>
        <w:pStyle w:val="Heading2"/>
      </w:pPr>
      <w:r>
        <w:t xml:space="preserve">Aim</w:t>
      </w:r>
    </w:p>
    <w:p>
      <w:pPr>
        <w:pStyle w:val="FirstParagraph"/>
      </w:pPr>
      <w:r>
        <w:t xml:space="preserve">This retrospective cohort study aimed to determine the associations</w:t>
      </w:r>
      <w:r>
        <w:t xml:space="preserve"> </w:t>
      </w:r>
      <w:r>
        <w:t xml:space="preserve">between different patient level factors and receiving delayed treatment.</w:t>
      </w:r>
    </w:p>
    <w:bookmarkEnd w:id="25"/>
    <w:bookmarkEnd w:id="26"/>
    <w:bookmarkStart w:id="37" w:name="methods"/>
    <w:p>
      <w:pPr>
        <w:pStyle w:val="Heading1"/>
      </w:pPr>
      <w:r>
        <w:t xml:space="preserve">Methods</w:t>
      </w:r>
    </w:p>
    <w:bookmarkStart w:id="27" w:name="setting"/>
    <w:p>
      <w:pPr>
        <w:pStyle w:val="Heading2"/>
      </w:pPr>
      <w:r>
        <w:t xml:space="preserve">Setting</w:t>
      </w:r>
    </w:p>
    <w:p>
      <w:pPr>
        <w:pStyle w:val="FirstParagraph"/>
      </w:pPr>
      <w:r>
        <w:t xml:space="preserve">The Karolinska University hospital, which is the equivalent of a trauma</w:t>
      </w:r>
      <w:r>
        <w:t xml:space="preserve"> </w:t>
      </w:r>
      <w:r>
        <w:t xml:space="preserve">level 1 hospital, admits 1500 trauma patients each year. To be included</w:t>
      </w:r>
      <w:r>
        <w:t xml:space="preserve"> </w:t>
      </w:r>
      <w:r>
        <w:t xml:space="preserve">in the trauma registry, a patient must be over 15 years of age, had</w:t>
      </w:r>
      <w:r>
        <w:t xml:space="preserve"> </w:t>
      </w:r>
      <w:r>
        <w:t xml:space="preserve">ISS&gt;9 and/or had trauma code activation. They get added to both the</w:t>
      </w:r>
      <w:r>
        <w:t xml:space="preserve"> </w:t>
      </w:r>
      <w:r>
        <w:t xml:space="preserve">Karolinska Trauma registry as well as the national trauma registry</w:t>
      </w:r>
      <w:r>
        <w:t xml:space="preserve"> </w:t>
      </w:r>
      <w:r>
        <w:t xml:space="preserve">(SweTrau). The registry includes data on vital signs, injuries,</w:t>
      </w:r>
      <w:r>
        <w:t xml:space="preserve"> </w:t>
      </w:r>
      <w:r>
        <w:t xml:space="preserve">interventions and patient information. Another database, the trauma care</w:t>
      </w:r>
      <w:r>
        <w:t xml:space="preserve"> </w:t>
      </w:r>
      <w:r>
        <w:t xml:space="preserve">quality database includes information relevant for MoM conferences. At</w:t>
      </w:r>
      <w:r>
        <w:t xml:space="preserve"> </w:t>
      </w:r>
      <w:r>
        <w:t xml:space="preserve">Karolinska University Hospital, patients who die during hospital stay</w:t>
      </w:r>
      <w:r>
        <w:t xml:space="preserve"> </w:t>
      </w:r>
      <w:r>
        <w:t xml:space="preserve">gets their case sent to a MoM everytime. However, for the rest of the</w:t>
      </w:r>
      <w:r>
        <w:t xml:space="preserve"> </w:t>
      </w:r>
      <w:r>
        <w:t xml:space="preserve">patients, two specialized nurses determine whether they are. Several</w:t>
      </w:r>
      <w:r>
        <w:t xml:space="preserve"> </w:t>
      </w:r>
      <w:r>
        <w:t xml:space="preserve">audit filters are set up to flag for patients with possible OFIs. Audit</w:t>
      </w:r>
      <w:r>
        <w:t xml:space="preserve"> </w:t>
      </w:r>
      <w:r>
        <w:t xml:space="preserve">filters may include low SBP, high RR, EMS scene time greater than 20</w:t>
      </w:r>
      <w:r>
        <w:t xml:space="preserve"> </w:t>
      </w:r>
      <w:r>
        <w:t xml:space="preserve">mins etc. Flagged patients are then reviewed by these two nurses who</w:t>
      </w:r>
      <w:r>
        <w:t xml:space="preserve"> </w:t>
      </w:r>
      <w:r>
        <w:t xml:space="preserve">decide if there is a possible OFI, in which case their case is sent to a</w:t>
      </w:r>
      <w:r>
        <w:t xml:space="preserve"> </w:t>
      </w:r>
      <w:r>
        <w:t xml:space="preserve">MoM conference for further review.</w:t>
      </w:r>
    </w:p>
    <w:bookmarkEnd w:id="27"/>
    <w:bookmarkStart w:id="28" w:name="study-design"/>
    <w:p>
      <w:pPr>
        <w:pStyle w:val="Heading2"/>
      </w:pPr>
      <w:r>
        <w:t xml:space="preserve">Study design</w:t>
      </w:r>
    </w:p>
    <w:p>
      <w:pPr>
        <w:pStyle w:val="FirstParagraph"/>
      </w:pPr>
      <w:r>
        <w:t xml:space="preserve">We conducted a registry based cohort study using data from the trauma</w:t>
      </w:r>
      <w:r>
        <w:t xml:space="preserve"> </w:t>
      </w:r>
      <w:r>
        <w:t xml:space="preserve">registry and trauma care quality database at the Karolinska University</w:t>
      </w:r>
      <w:r>
        <w:t xml:space="preserve"> </w:t>
      </w:r>
      <w:r>
        <w:t xml:space="preserve">Hospital in Solna. The trauma registry includes 14,022 patients treated</w:t>
      </w:r>
      <w:r>
        <w:t xml:space="preserve"> </w:t>
      </w:r>
      <w:r>
        <w:t xml:space="preserve">between 2012 and 2022. The trauma care quality database is a subset of</w:t>
      </w:r>
      <w:r>
        <w:t xml:space="preserve"> </w:t>
      </w:r>
      <w:r>
        <w:t xml:space="preserve">the trauma registry and includes about 8000 patients selected for review</w:t>
      </w:r>
      <w:r>
        <w:t xml:space="preserve"> </w:t>
      </w:r>
      <w:r>
        <w:t xml:space="preserve">between 2013 and 2022. This project linked the two databases and</w:t>
      </w:r>
      <w:r>
        <w:t xml:space="preserve"> </w:t>
      </w:r>
      <w:r>
        <w:t xml:space="preserve">assessed how different patient level factors, such as age, sex, blood</w:t>
      </w:r>
      <w:r>
        <w:t xml:space="preserve"> </w:t>
      </w:r>
      <w:r>
        <w:t xml:space="preserve">pressure, and injury severity, are associated with delayed treatment</w:t>
      </w:r>
      <w:r>
        <w:t xml:space="preserve"> </w:t>
      </w:r>
      <w:r>
        <w:t xml:space="preserve">using logistic regression.</w:t>
      </w:r>
    </w:p>
    <w:bookmarkEnd w:id="28"/>
    <w:bookmarkStart w:id="29" w:name="outcome"/>
    <w:p>
      <w:pPr>
        <w:pStyle w:val="Heading2"/>
      </w:pPr>
      <w:r>
        <w:t xml:space="preserve">Outcome</w:t>
      </w:r>
    </w:p>
    <w:p>
      <w:pPr>
        <w:pStyle w:val="FirstParagraph"/>
      </w:pPr>
      <w:r>
        <w:t xml:space="preserve">The outcome is the OFI delayed treatment. An OFI is any failure in care,</w:t>
      </w:r>
      <w:r>
        <w:t xml:space="preserve"> </w:t>
      </w:r>
      <w:r>
        <w:t xml:space="preserve">e.g. clinical judgement error, any preventable or potentially</w:t>
      </w:r>
      <w:r>
        <w:t xml:space="preserve"> </w:t>
      </w:r>
      <w:r>
        <w:t xml:space="preserve">preventable death, missed diagnosis, technical error and delayed</w:t>
      </w:r>
      <w:r>
        <w:t xml:space="preserve"> </w:t>
      </w:r>
      <w:r>
        <w:t xml:space="preserve">treatment as identified and decided my the MoM conference. The outcomes</w:t>
      </w:r>
      <w:r>
        <w:t xml:space="preserve"> </w:t>
      </w:r>
      <w:r>
        <w:t xml:space="preserve">we used were</w:t>
      </w:r>
      <w:r>
        <w:t xml:space="preserve"> </w:t>
      </w:r>
      <w:r>
        <w:t xml:space="preserve">“</w:t>
      </w:r>
      <w:r>
        <w:t xml:space="preserve">long time until CT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long time until operation</w:t>
      </w:r>
      <w:r>
        <w:t xml:space="preserve">”</w:t>
      </w:r>
      <w:r>
        <w:t xml:space="preserve">, which</w:t>
      </w:r>
      <w:r>
        <w:t xml:space="preserve"> </w:t>
      </w:r>
      <w:r>
        <w:t xml:space="preserve">will be referred to as delayed treatment from now on.</w:t>
      </w:r>
    </w:p>
    <w:bookmarkEnd w:id="29"/>
    <w:bookmarkStart w:id="30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The database only includes patients 15 years old and above, ISS &gt;9</w:t>
      </w:r>
      <w:r>
        <w:t xml:space="preserve"> </w:t>
      </w:r>
      <w:r>
        <w:t xml:space="preserve">and/or trauma team activation. Inclusion in the study further required</w:t>
      </w:r>
      <w:r>
        <w:t xml:space="preserve"> </w:t>
      </w:r>
      <w:r>
        <w:t xml:space="preserve">that the patients has been assessed for OFIs. Patients were excluded if</w:t>
      </w:r>
      <w:r>
        <w:t xml:space="preserve"> </w:t>
      </w:r>
      <w:r>
        <w:t xml:space="preserve">they were missing information in one of the examined patient factors.</w:t>
      </w:r>
    </w:p>
    <w:bookmarkEnd w:id="30"/>
    <w:bookmarkStart w:id="31" w:name="variables"/>
    <w:p>
      <w:pPr>
        <w:pStyle w:val="Heading2"/>
      </w:pPr>
      <w:r>
        <w:t xml:space="preserve">Variables</w:t>
      </w:r>
    </w:p>
    <w:p>
      <w:pPr>
        <w:pStyle w:val="FirstParagraph"/>
      </w:pPr>
      <w:r>
        <w:t xml:space="preserve">The independent variables are gender, GCS on arrival, respiratory rate</w:t>
      </w:r>
      <w:r>
        <w:t xml:space="preserve"> </w:t>
      </w:r>
      <w:r>
        <w:t xml:space="preserve">on arrival, systolic blood pressure on arrival, number of injuries, ISS</w:t>
      </w:r>
      <w:r>
        <w:t xml:space="preserve"> </w:t>
      </w:r>
      <w:r>
        <w:t xml:space="preserve">and age. Of these variables, GCS, respiratory rate, systolic blood</w:t>
      </w:r>
      <w:r>
        <w:t xml:space="preserve"> </w:t>
      </w:r>
      <w:r>
        <w:t xml:space="preserve">pressure, number of injuries, ISS and age are used as continuous</w:t>
      </w:r>
      <w:r>
        <w:t xml:space="preserve"> </w:t>
      </w:r>
      <w:r>
        <w:t xml:space="preserve">variables in the analysis. Gender is used as a categorical variable.</w:t>
      </w:r>
    </w:p>
    <w:p>
      <w:pPr>
        <w:pStyle w:val="BodyText"/>
      </w:pPr>
      <w:r>
        <w:t xml:space="preserve">For missing hospital values in GCS, RR and SBP, values collected from</w:t>
      </w:r>
      <w:r>
        <w:t xml:space="preserve"> </w:t>
      </w:r>
      <w:r>
        <w:t xml:space="preserve">EMT personnel before arrival to hospital were used. This was</w:t>
      </w:r>
      <w:r>
        <w:t xml:space="preserve"> </w:t>
      </w:r>
      <w:r>
        <w:t xml:space="preserve">accomplished by identifying missing data in the column for the hospital</w:t>
      </w:r>
      <w:r>
        <w:t xml:space="preserve"> </w:t>
      </w:r>
      <w:r>
        <w:t xml:space="preserve">value of the variable and, if available, replacing the row in the</w:t>
      </w:r>
      <w:r>
        <w:t xml:space="preserve"> </w:t>
      </w:r>
      <w:r>
        <w:t xml:space="preserve">dataset with the prehospital value. If a prehospital value is missing,</w:t>
      </w:r>
      <w:r>
        <w:t xml:space="preserve"> </w:t>
      </w:r>
      <w:r>
        <w:t xml:space="preserve">the patient is excluded from the study.</w:t>
      </w:r>
    </w:p>
    <w:bookmarkEnd w:id="31"/>
    <w:bookmarkStart w:id="32" w:name="data-sourcesmeasurement"/>
    <w:p>
      <w:pPr>
        <w:pStyle w:val="Heading2"/>
      </w:pPr>
      <w:r>
        <w:t xml:space="preserve">Data sources/measurement</w:t>
      </w:r>
    </w:p>
    <w:p>
      <w:pPr>
        <w:pStyle w:val="FirstParagraph"/>
      </w:pPr>
      <w:r>
        <w:t xml:space="preserve">The data comes from the trauma registry and trauma care quality</w:t>
      </w:r>
      <w:r>
        <w:t xml:space="preserve"> </w:t>
      </w:r>
      <w:r>
        <w:t xml:space="preserve">database.</w:t>
      </w:r>
    </w:p>
    <w:bookmarkEnd w:id="32"/>
    <w:bookmarkStart w:id="33" w:name="bias"/>
    <w:p>
      <w:pPr>
        <w:pStyle w:val="Heading2"/>
      </w:pPr>
      <w:r>
        <w:t xml:space="preserve">Bias</w:t>
      </w:r>
    </w:p>
    <w:p>
      <w:pPr>
        <w:pStyle w:val="FirstParagraph"/>
      </w:pPr>
      <w:r>
        <w:t xml:space="preserve">Selection bias as this is a retrospective post hoc cohort study where</w:t>
      </w:r>
      <w:r>
        <w:t xml:space="preserve"> </w:t>
      </w:r>
      <w:r>
        <w:t xml:space="preserve">the outcome has occurred before the study began.</w:t>
      </w:r>
    </w:p>
    <w:p>
      <w:pPr>
        <w:pStyle w:val="BodyText"/>
      </w:pPr>
      <w:r>
        <w:t xml:space="preserve">Misclassification bias as the conference may reach a consensus that is</w:t>
      </w:r>
      <w:r>
        <w:t xml:space="preserve"> </w:t>
      </w:r>
      <w:r>
        <w:t xml:space="preserve">wrong, alternatively that the two specialized nurses going through the</w:t>
      </w:r>
      <w:r>
        <w:t xml:space="preserve"> </w:t>
      </w:r>
      <w:r>
        <w:t xml:space="preserve">patients flagged for audit filters might misclassify patients or that</w:t>
      </w:r>
      <w:r>
        <w:t xml:space="preserve"> </w:t>
      </w:r>
      <w:r>
        <w:t xml:space="preserve">the audit filter misses a patient with ofi.</w:t>
      </w:r>
    </w:p>
    <w:bookmarkEnd w:id="33"/>
    <w:bookmarkStart w:id="34" w:name="study-size"/>
    <w:p>
      <w:pPr>
        <w:pStyle w:val="Heading2"/>
      </w:pPr>
      <w:r>
        <w:t xml:space="preserve">Study size</w:t>
      </w:r>
    </w:p>
    <w:p>
      <w:pPr>
        <w:pStyle w:val="FirstParagraph"/>
      </w:pPr>
      <w:r>
        <w:t xml:space="preserve">The study size is all of the eligible patients that was treated at the</w:t>
      </w:r>
      <w:r>
        <w:t xml:space="preserve"> </w:t>
      </w:r>
      <w:r>
        <w:t xml:space="preserve">hospital between 2012 and 2022. Starting 2013 only a subgroup of</w:t>
      </w:r>
      <w:r>
        <w:t xml:space="preserve"> </w:t>
      </w:r>
      <w:r>
        <w:t xml:space="preserve">patients were screened for OFIs, but starting 2017 all patients that are</w:t>
      </w:r>
      <w:r>
        <w:t xml:space="preserve"> </w:t>
      </w:r>
      <w:r>
        <w:t xml:space="preserve">included in the database are screened for OFIs. Out of the 14,022</w:t>
      </w:r>
      <w:r>
        <w:t xml:space="preserve"> </w:t>
      </w:r>
      <w:r>
        <w:t xml:space="preserve">patients in the database, 7,378 were included in the study, with the</w:t>
      </w:r>
      <w:r>
        <w:t xml:space="preserve"> </w:t>
      </w:r>
      <w:r>
        <w:t xml:space="preserve">rest being excluded due to either not being screened for ofi or missing</w:t>
      </w:r>
      <w:r>
        <w:t xml:space="preserve"> </w:t>
      </w:r>
      <w:r>
        <w:t xml:space="preserve">values in the examined variables. 72 patients were deemed to have</w:t>
      </w:r>
      <w:r>
        <w:t xml:space="preserve"> </w:t>
      </w:r>
      <w:r>
        <w:t xml:space="preserve">received delayed treatment. However, only 70 patients with the</w:t>
      </w:r>
      <w:r>
        <w:t xml:space="preserve"> </w:t>
      </w:r>
      <w:r>
        <w:t xml:space="preserve">registered outcome were included in the study due to missing values</w:t>
      </w:r>
      <w:r>
        <w:t xml:space="preserve"> </w:t>
      </w:r>
      <w:r>
        <w:t xml:space="preserve">among two of the patients.</w:t>
      </w:r>
    </w:p>
    <w:bookmarkEnd w:id="34"/>
    <w:bookmarkStart w:id="35" w:name="statistical-methods"/>
    <w:p>
      <w:pPr>
        <w:pStyle w:val="Heading2"/>
      </w:pPr>
      <w:r>
        <w:t xml:space="preserve">Statistical methods</w:t>
      </w:r>
    </w:p>
    <w:p>
      <w:pPr>
        <w:pStyle w:val="FirstParagraph"/>
      </w:pPr>
      <w:r>
        <w:t xml:space="preserve">Multivariable and univariable logistical regression. A 5% significance</w:t>
      </w:r>
      <w:r>
        <w:t xml:space="preserve"> </w:t>
      </w:r>
      <w:r>
        <w:t xml:space="preserve">level and 95% confidence levels will be used.</w:t>
      </w:r>
    </w:p>
    <w:p>
      <w:pPr>
        <w:pStyle w:val="BodyText"/>
      </w:pPr>
      <w:r>
        <w:t xml:space="preserve">Rstudio was used to clean and prepare the data from the database. The</w:t>
      </w:r>
      <w:r>
        <w:t xml:space="preserve"> </w:t>
      </w:r>
      <w:r>
        <w:t xml:space="preserve">data was processed to have the variables customized to fit into the</w:t>
      </w:r>
      <w:r>
        <w:t xml:space="preserve"> </w:t>
      </w:r>
      <w:r>
        <w:t xml:space="preserve">logistical regression model, such as making them into factors, renaming</w:t>
      </w:r>
      <w:r>
        <w:t xml:space="preserve"> </w:t>
      </w:r>
      <w:r>
        <w:t xml:space="preserve">outcomes in the database and replacing or removing unknown values. The</w:t>
      </w:r>
      <w:r>
        <w:t xml:space="preserve"> </w:t>
      </w:r>
      <w:r>
        <w:t xml:space="preserve">variables were either binary or continuous. While writing the code, it</w:t>
      </w:r>
      <w:r>
        <w:t xml:space="preserve"> </w:t>
      </w:r>
      <w:r>
        <w:t xml:space="preserve">was tested on scrambled data so to avoid selection bias as much as</w:t>
      </w:r>
      <w:r>
        <w:t xml:space="preserve"> </w:t>
      </w:r>
      <w:r>
        <w:t xml:space="preserve">possible. When the code was finished, it was run on the unscrambled data</w:t>
      </w:r>
      <w:r>
        <w:t xml:space="preserve"> </w:t>
      </w:r>
      <w:r>
        <w:t xml:space="preserve">for a result.</w:t>
      </w:r>
    </w:p>
    <w:p>
      <w:pPr>
        <w:pStyle w:val="BodyText"/>
      </w:pPr>
      <w:r>
        <w:t xml:space="preserve">Using the one in ten rule, 7 independent variables were used for the</w:t>
      </w:r>
      <w:r>
        <w:t xml:space="preserve"> </w:t>
      </w:r>
      <w:r>
        <w:t xml:space="preserve">logistical regression given that we have 70 patients with delayed</w:t>
      </w:r>
      <w:r>
        <w:t xml:space="preserve"> </w:t>
      </w:r>
      <w:r>
        <w:t xml:space="preserve">treatment. The one in ten rule states that for every variable examined,</w:t>
      </w:r>
      <w:r>
        <w:t xml:space="preserve"> </w:t>
      </w:r>
      <w:r>
        <w:t xml:space="preserve">10 events are needed in the group. In this case, this means that because</w:t>
      </w:r>
      <w:r>
        <w:t xml:space="preserve"> </w:t>
      </w:r>
      <w:r>
        <w:t xml:space="preserve">we have 70 patients with the examined outcome, we can have 7 variables.</w:t>
      </w:r>
    </w:p>
    <w:p>
      <w:pPr>
        <w:pStyle w:val="BodyText"/>
      </w:pPr>
      <w:r>
        <w:t xml:space="preserve">The logistical regression is run through Rstudio using the glm command.</w:t>
      </w:r>
      <w:r>
        <w:t xml:space="preserve"> </w:t>
      </w:r>
      <w:r>
        <w:t xml:space="preserve">It was ran several times to make an adjusted table and 7 unadjusted, one</w:t>
      </w:r>
      <w:r>
        <w:t xml:space="preserve"> </w:t>
      </w:r>
      <w:r>
        <w:t xml:space="preserve">for each variable. To make the tables, the package gtsummary was used to</w:t>
      </w:r>
      <w:r>
        <w:t xml:space="preserve"> </w:t>
      </w:r>
      <w:r>
        <w:t xml:space="preserve">visualize the adjusted and unadjusted regression individually, then</w:t>
      </w:r>
      <w:r>
        <w:t xml:space="preserve"> </w:t>
      </w:r>
      <w:r>
        <w:t xml:space="preserve">merging them together into one table.</w:t>
      </w:r>
    </w:p>
    <w:p>
      <w:pPr>
        <w:pStyle w:val="BodyText"/>
      </w:pPr>
      <w:r>
        <w:t xml:space="preserve">This process was the only time generative AI was used in the writing</w:t>
      </w:r>
      <w:r>
        <w:t xml:space="preserve"> </w:t>
      </w:r>
      <w:r>
        <w:t xml:space="preserve">process. It was used to make snippets of code for a specific purpose,</w:t>
      </w:r>
      <w:r>
        <w:t xml:space="preserve"> </w:t>
      </w:r>
      <w:r>
        <w:t xml:space="preserve">revise and optimize code and find solutions when written code was not</w:t>
      </w:r>
      <w:r>
        <w:t xml:space="preserve"> </w:t>
      </w:r>
      <w:r>
        <w:t xml:space="preserve">functioning properly.</w:t>
      </w:r>
    </w:p>
    <w:bookmarkEnd w:id="35"/>
    <w:bookmarkStart w:id="36" w:name="ethical-considerations"/>
    <w:p>
      <w:pPr>
        <w:pStyle w:val="Heading2"/>
      </w:pPr>
      <w:r>
        <w:t xml:space="preserve">Ethical considerations</w:t>
      </w:r>
    </w:p>
    <w:p>
      <w:pPr>
        <w:pStyle w:val="FirstParagraph"/>
      </w:pPr>
      <w:r>
        <w:t xml:space="preserve">An ethical problem that might be brought up is the anonymity of the</w:t>
      </w:r>
      <w:r>
        <w:t xml:space="preserve"> </w:t>
      </w:r>
      <w:r>
        <w:t xml:space="preserve">patients. In the registry, patients social security number is present</w:t>
      </w:r>
      <w:r>
        <w:t xml:space="preserve"> </w:t>
      </w:r>
      <w:r>
        <w:t xml:space="preserve">and could theoretically be used to identify the patient in question.</w:t>
      </w:r>
      <w:r>
        <w:t xml:space="preserve"> </w:t>
      </w:r>
      <w:r>
        <w:t xml:space="preserve">This will not be a problem though, as in the analysis, the social</w:t>
      </w:r>
      <w:r>
        <w:t xml:space="preserve"> </w:t>
      </w:r>
      <w:r>
        <w:t xml:space="preserve">security number is removed from the data before the logistical</w:t>
      </w:r>
      <w:r>
        <w:t xml:space="preserve"> </w:t>
      </w:r>
      <w:r>
        <w:t xml:space="preserve">regression is ran. Furthermore, the results will be presented with</w:t>
      </w:r>
      <w:r>
        <w:t xml:space="preserve"> </w:t>
      </w:r>
      <w:r>
        <w:t xml:space="preserve">patients grouped together, not individually. This will make it</w:t>
      </w:r>
      <w:r>
        <w:t xml:space="preserve"> </w:t>
      </w:r>
      <w:r>
        <w:t xml:space="preserve">impossible for anyone to identify patients. During the analysis, a VPN</w:t>
      </w:r>
      <w:r>
        <w:t xml:space="preserve"> </w:t>
      </w:r>
      <w:r>
        <w:t xml:space="preserve">was used to access the database to ensure that no data was leaked or</w:t>
      </w:r>
      <w:r>
        <w:t xml:space="preserve"> </w:t>
      </w:r>
      <w:r>
        <w:t xml:space="preserve">used for other purposes. Ethical permit is required and exists. The</w:t>
      </w:r>
      <w:r>
        <w:t xml:space="preserve"> </w:t>
      </w:r>
      <w:r>
        <w:t xml:space="preserve">ethical review number is 2021-02541 and 2021-03531.</w:t>
      </w:r>
    </w:p>
    <w:bookmarkEnd w:id="36"/>
    <w:bookmarkEnd w:id="37"/>
    <w:bookmarkStart w:id="41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Out of the 14,022 patients receiving trauma care at Karolinska</w:t>
      </w:r>
      <w:r>
        <w:t xml:space="preserve"> </w:t>
      </w:r>
      <w:r>
        <w:t xml:space="preserve">University Hospital, 5,710 patients were not screened for ofi, which</w:t>
      </w:r>
      <w:r>
        <w:t xml:space="preserve"> </w:t>
      </w:r>
      <w:r>
        <w:t xml:space="preserve">excludes them from the study and leaves 8,312 patients that have been</w:t>
      </w:r>
      <w:r>
        <w:t xml:space="preserve"> </w:t>
      </w:r>
      <w:r>
        <w:t xml:space="preserve">screened for ofi.</w:t>
      </w:r>
    </w:p>
    <w:p>
      <w:pPr>
        <w:pStyle w:val="BodyText"/>
      </w:pPr>
      <w:r>
        <w:t xml:space="preserve">As we were running the logistic regression, additional patients were</w:t>
      </w:r>
      <w:r>
        <w:t xml:space="preserve"> </w:t>
      </w:r>
      <w:r>
        <w:t xml:space="preserve">excluded from the study due to missing data. Among the 8,312 patients</w:t>
      </w:r>
      <w:r>
        <w:t xml:space="preserve"> </w:t>
      </w:r>
      <w:r>
        <w:t xml:space="preserve">screened for ofi, 7,378 were included in the study. 934 patients were</w:t>
      </w:r>
      <w:r>
        <w:t xml:space="preserve"> </w:t>
      </w:r>
      <w:r>
        <w:t xml:space="preserve">excluded from the study due to missing values in one or more variables.</w:t>
      </w:r>
      <w:r>
        <w:t xml:space="preserve"> </w:t>
      </w:r>
      <w:r>
        <w:t xml:space="preserve">This left us with 70 patients in the delayed treatment group and 7,308</w:t>
      </w:r>
      <w:r>
        <w:t xml:space="preserve"> </w:t>
      </w:r>
      <w:r>
        <w:t xml:space="preserve">patients in the no delay to treatment group. Figure 1 below illustrates</w:t>
      </w:r>
      <w:r>
        <w:t xml:space="preserve"> </w:t>
      </w:r>
      <w:r>
        <w:t xml:space="preserve">the exclusion and inclusion of patients.</w:t>
      </w:r>
    </w:p>
    <w:p>
      <w:pPr>
        <w:pStyle w:val="BodyText"/>
      </w:pPr>
      <w:r>
        <w:drawing>
          <wp:inline>
            <wp:extent cx="5334000" cy="605667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plot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6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Table1 shows the characteristics of the group used in the logistic</w:t>
      </w:r>
      <w:r>
        <w:t xml:space="preserve"> </w:t>
      </w:r>
      <w:r>
        <w:t xml:space="preserve">regression. Most of the patients were men, 68%, with that being a bit</w:t>
      </w:r>
      <w:r>
        <w:t xml:space="preserve"> </w:t>
      </w:r>
      <w:r>
        <w:t xml:space="preserve">higher in the delayed treatment group, 74%. The mean value for the ISS</w:t>
      </w:r>
      <w:r>
        <w:t xml:space="preserve"> </w:t>
      </w:r>
      <w:r>
        <w:t xml:space="preserve">score was 10.18, with that value being higher in the outcome group, at</w:t>
      </w:r>
      <w:r>
        <w:t xml:space="preserve"> </w:t>
      </w:r>
      <w:r>
        <w:t xml:space="preserve">16.81. The mean age of the patients was 45.18 years old, with it being</w:t>
      </w:r>
      <w:r>
        <w:t xml:space="preserve"> </w:t>
      </w:r>
      <w:r>
        <w:t xml:space="preserve">around the same in the delayed treatment group at 45.50. The mean number</w:t>
      </w:r>
      <w:r>
        <w:t xml:space="preserve"> </w:t>
      </w:r>
      <w:r>
        <w:t xml:space="preserve">of injuries among the delayed treatment patients was at 6.33, which is</w:t>
      </w:r>
      <w:r>
        <w:t xml:space="preserve"> </w:t>
      </w:r>
      <w:r>
        <w:t xml:space="preserve">higher than in the overall group at 4.76. The mean SBP was 137.33, with</w:t>
      </w:r>
      <w:r>
        <w:t xml:space="preserve"> </w:t>
      </w:r>
      <w:r>
        <w:t xml:space="preserve">a standard deviation of 25.69. Mean respiratory rate was 18.59 with it</w:t>
      </w:r>
      <w:r>
        <w:t xml:space="preserve"> </w:t>
      </w:r>
      <w:r>
        <w:t xml:space="preserve">being slightly higher in the outcome population at 20.39. Lastly, mean</w:t>
      </w:r>
      <w:r>
        <w:t xml:space="preserve"> </w:t>
      </w:r>
      <w:r>
        <w:t xml:space="preserve">GCS was 13.93, being lower among patients with delayed treatment at</w:t>
      </w:r>
      <w:r>
        <w:t xml:space="preserve"> </w:t>
      </w:r>
      <w:r>
        <w:t xml:space="preserve">12.56.</w:t>
      </w:r>
    </w:p>
    <w:p>
      <w:pPr>
        <w:pStyle w:val="SourceCode"/>
      </w:pPr>
      <w:r>
        <w:rPr>
          <w:rStyle w:val="NormalTok"/>
        </w:rPr>
        <w:t xml:space="preserve">table1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42"/>
        <w:gridCol w:w="2229"/>
        <w:gridCol w:w="1877"/>
        <w:gridCol w:w="762"/>
        <w:gridCol w:w="14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No delay to treatment</w:t>
            </w:r>
            <w:r>
              <w:t xml:space="preserve">, N = 7,308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Delay to treatment</w:t>
            </w:r>
            <w:r>
              <w:t xml:space="preserve">, N = 70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Overall</w:t>
            </w:r>
            <w:r>
              <w:t xml:space="preserve">, N = 7,378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2,314 (32%)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(26%)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2,332 (32%)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4,994 (68%)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 (74%)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5,046 (68%)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10.12 ± 10.44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16.81 ± 10.24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10.18 ± 10.46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45.18 ± 21.40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45.50 ± 22.08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45.18 ± 21.41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Number of injuries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4.75 ± 4.39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6.33 ± 4.84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4.76 ± 4.40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Systolic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137.34 ± 25.64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136.79 ± 30.81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137.33 ± 25.69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Respiratory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18.57 ± 5.13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20.39 ± 6.06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18.59 ± 5.14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GCS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13.94 ± 2.60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12.56 ± 3.53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13.93 ± 2.62</w:t>
            </w:r>
          </w:p>
        </w:tc>
      </w:tr>
    </w:tbl>
    <w:p>
      <w:pPr>
        <w:pStyle w:val="BodyText"/>
      </w:pPr>
      <w:r>
        <w:t xml:space="preserve">In the following table, result1, the results from the logistical</w:t>
      </w:r>
      <w:r>
        <w:t xml:space="preserve"> </w:t>
      </w:r>
      <w:r>
        <w:t xml:space="preserve">regression analysis is displayed.</w:t>
      </w:r>
    </w:p>
    <w:p>
      <w:pPr>
        <w:pStyle w:val="BodyText"/>
      </w:pPr>
      <w:r>
        <w:t xml:space="preserve">The odds ratio is calculated both unadjusted and adjusted. A 95%</w:t>
      </w:r>
      <w:r>
        <w:t xml:space="preserve"> </w:t>
      </w:r>
      <w:r>
        <w:t xml:space="preserve">confidence interval was used with the p value shown in the table.</w:t>
      </w:r>
    </w:p>
    <w:p>
      <w:pPr>
        <w:pStyle w:val="BodyText"/>
      </w:pPr>
      <w:r>
        <w:t xml:space="preserve">The analysis shows that some variables seem to have a association with</w:t>
      </w:r>
      <w:r>
        <w:t xml:space="preserve"> </w:t>
      </w:r>
      <w:r>
        <w:t xml:space="preserve">patients receiving delayed treatment. ISS and respiratory rate (RR) both</w:t>
      </w:r>
      <w:r>
        <w:t xml:space="preserve"> </w:t>
      </w:r>
      <w:r>
        <w:t xml:space="preserve">have a trend that patient with lower values seem to have a lower</w:t>
      </w:r>
      <w:r>
        <w:t xml:space="preserve"> </w:t>
      </w:r>
      <w:r>
        <w:t xml:space="preserve">incidence of delayed treatment, in both unadjusted</w:t>
      </w:r>
    </w:p>
    <w:p>
      <w:pPr>
        <w:pStyle w:val="BodyText"/>
      </w:pPr>
      <w:r>
        <w:t xml:space="preserve">(ISS, OR 1.04, 95% CI 1.02-1.05)(RR, OR 1.06, 95% CI 1.02-1.09) and</w:t>
      </w:r>
      <w:r>
        <w:t xml:space="preserve"> </w:t>
      </w:r>
      <w:r>
        <w:t xml:space="preserve">adjusted analyses (ISS, OR 1.03, 95% CI 1.01-1.06)(RR, OR 1.04, 95% CI</w:t>
      </w:r>
      <w:r>
        <w:t xml:space="preserve"> </w:t>
      </w:r>
      <w:r>
        <w:t xml:space="preserve">1.01-1.08). GCS had the opposite correlation, with higher GCS often</w:t>
      </w:r>
      <w:r>
        <w:t xml:space="preserve"> </w:t>
      </w:r>
      <w:r>
        <w:t xml:space="preserve">having lower incidence of delayed treatment, both unadjusted (OR 0.88,</w:t>
      </w:r>
      <w:r>
        <w:t xml:space="preserve"> </w:t>
      </w:r>
      <w:r>
        <w:t xml:space="preserve">95% CI 0.83-0.94) and adjusted (OR 0.93, 95% CI 0.87-1.00). Number of</w:t>
      </w:r>
      <w:r>
        <w:t xml:space="preserve"> </w:t>
      </w:r>
      <w:r>
        <w:t xml:space="preserve">injuries had the association of higher number of injuries having higher</w:t>
      </w:r>
      <w:r>
        <w:t xml:space="preserve"> </w:t>
      </w:r>
      <w:r>
        <w:t xml:space="preserve">incidence of delayed treatment unadjusted (OR 1.06, 95% CI 1.02-1.10),</w:t>
      </w:r>
      <w:r>
        <w:t xml:space="preserve"> </w:t>
      </w:r>
      <w:r>
        <w:t xml:space="preserve">but that association was not seen when adjusted for. The three remaining</w:t>
      </w:r>
      <w:r>
        <w:t xml:space="preserve"> </w:t>
      </w:r>
      <w:r>
        <w:t xml:space="preserve">variables, age, gender and SBP, were not shown to be linked to the</w:t>
      </w:r>
      <w:r>
        <w:t xml:space="preserve"> </w:t>
      </w:r>
      <w:r>
        <w:t xml:space="preserve">outcome.</w:t>
      </w:r>
    </w:p>
    <w:p>
      <w:pPr>
        <w:pStyle w:val="SourceCode"/>
      </w:pPr>
      <w:r>
        <w:rPr>
          <w:rStyle w:val="NormalTok"/>
        </w:rPr>
        <w:t xml:space="preserve">result1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59"/>
        <w:gridCol w:w="674"/>
        <w:gridCol w:w="1011"/>
        <w:gridCol w:w="1095"/>
        <w:gridCol w:w="674"/>
        <w:gridCol w:w="1011"/>
        <w:gridCol w:w="109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0.80, 2.35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0.72, 2.15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1.02, 1.05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1.01, 1.06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Number_of_injuries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1.02, 1.10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0.003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0.93, 1.04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Systolic_blood_pressure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1.0, 1.01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Respiratory_rate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1.02, 1.09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0.003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1.01, 1.08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Total_GCS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0.83, 0.94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0.87, 1.00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0.038</w:t>
            </w:r>
          </w:p>
        </w:tc>
      </w:tr>
    </w:tbl>
    <w:bookmarkEnd w:id="41"/>
    <w:bookmarkStart w:id="47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These results show a possible correlation between some variables and the</w:t>
      </w:r>
      <w:r>
        <w:t xml:space="preserve"> </w:t>
      </w:r>
      <w:r>
        <w:t xml:space="preserve">presence of delayed treatment. A lower GCS had a correlation with</w:t>
      </w:r>
      <w:r>
        <w:t xml:space="preserve"> </w:t>
      </w:r>
      <w:r>
        <w:t xml:space="preserve">delayed treatment while a higher ISS had the same correlation. This</w:t>
      </w:r>
      <w:r>
        <w:t xml:space="preserve"> </w:t>
      </w:r>
      <w:r>
        <w:t xml:space="preserve">suggests that a more heavily injured and less conscious patient is more</w:t>
      </w:r>
      <w:r>
        <w:t xml:space="preserve"> </w:t>
      </w:r>
      <w:r>
        <w:t xml:space="preserve">prone to receiving delayed treatment. Compared to a previous study</w:t>
      </w:r>
      <w:r>
        <w:t xml:space="preserve"> </w:t>
      </w:r>
      <w:r>
        <w:t xml:space="preserve">analysing the same data but with OFI as the outcome, this result is</w:t>
      </w:r>
      <w:r>
        <w:t xml:space="preserve"> </w:t>
      </w:r>
      <w:r>
        <w:t xml:space="preserve">similar to what they found using the same database</w:t>
      </w:r>
      <w:r>
        <w:t xml:space="preserve"> </w:t>
      </w:r>
      <w:r>
        <w:t xml:space="preserve">(27)</w:t>
      </w:r>
      <w:r>
        <w:t xml:space="preserve">. As</w:t>
      </w:r>
      <w:r>
        <w:t xml:space="preserve"> </w:t>
      </w:r>
      <w:r>
        <w:t xml:space="preserve">the mentioned study suggests, this could be explained by that lower GCS</w:t>
      </w:r>
      <w:r>
        <w:t xml:space="preserve"> </w:t>
      </w:r>
      <w:r>
        <w:t xml:space="preserve">as well as higher ISS indicates severe trauma. More injured patients</w:t>
      </w:r>
      <w:r>
        <w:t xml:space="preserve"> </w:t>
      </w:r>
      <w:r>
        <w:t xml:space="preserve">often requires a more complex management and more interventions. More</w:t>
      </w:r>
      <w:r>
        <w:t xml:space="preserve"> </w:t>
      </w:r>
      <w:r>
        <w:t xml:space="preserve">interventions leave more room for delay to these interventions, why they</w:t>
      </w:r>
      <w:r>
        <w:t xml:space="preserve"> </w:t>
      </w:r>
      <w:r>
        <w:t xml:space="preserve">are more prone to delay in treatment. Respiratory rate also had the</w:t>
      </w:r>
      <w:r>
        <w:t xml:space="preserve"> </w:t>
      </w:r>
      <w:r>
        <w:t xml:space="preserve">correlation that lower respiratory rate correlated with lower rates of</w:t>
      </w:r>
      <w:r>
        <w:t xml:space="preserve"> </w:t>
      </w:r>
      <w:r>
        <w:t xml:space="preserve">delayed treatment among the patients. As the interval is &gt;10 to &lt;29 in</w:t>
      </w:r>
      <w:r>
        <w:t xml:space="preserve"> </w:t>
      </w:r>
      <w:r>
        <w:t xml:space="preserve">the triage guideline, both too low and too high respiratory rate is not</w:t>
      </w:r>
      <w:r>
        <w:t xml:space="preserve"> </w:t>
      </w:r>
      <w:r>
        <w:t xml:space="preserve">desirable</w:t>
      </w:r>
      <w:r>
        <w:t xml:space="preserve">(28)</w:t>
      </w:r>
      <w:r>
        <w:t xml:space="preserve">. This might have a similar explanation to ISS and</w:t>
      </w:r>
      <w:r>
        <w:t xml:space="preserve"> </w:t>
      </w:r>
      <w:r>
        <w:t xml:space="preserve">GCS, that patients with tachypnea might receive higher rates of delayed</w:t>
      </w:r>
      <w:r>
        <w:t xml:space="preserve"> </w:t>
      </w:r>
      <w:r>
        <w:t xml:space="preserve">treatment because they are more severely injured, therefore a higher</w:t>
      </w:r>
      <w:r>
        <w:t xml:space="preserve"> </w:t>
      </w:r>
      <w:r>
        <w:t xml:space="preserve">risk of missing a possible injury. The previous study also found this,</w:t>
      </w:r>
      <w:r>
        <w:t xml:space="preserve"> </w:t>
      </w:r>
      <w:r>
        <w:t xml:space="preserve">but the correlation dissapeared when adjusted for, which was</w:t>
      </w:r>
      <w:r>
        <w:t xml:space="preserve"> </w:t>
      </w:r>
      <w:r>
        <w:t xml:space="preserve">hypothesised being due to its shared variability with the ISS</w:t>
      </w:r>
      <w:r>
        <w:t xml:space="preserve"> </w:t>
      </w:r>
      <w:r>
        <w:t xml:space="preserve">variable</w:t>
      </w:r>
      <w:r>
        <w:t xml:space="preserve">(27)</w:t>
      </w:r>
      <w:r>
        <w:t xml:space="preserve">. In this study, this was the case for number of</w:t>
      </w:r>
      <w:r>
        <w:t xml:space="preserve"> </w:t>
      </w:r>
      <w:r>
        <w:t xml:space="preserve">injuries, as it and ISS is often correlated as a more severely injured</w:t>
      </w:r>
      <w:r>
        <w:t xml:space="preserve"> </w:t>
      </w:r>
      <w:r>
        <w:t xml:space="preserve">patient will both score higher on ISS and number of injuries. Therefore,</w:t>
      </w:r>
      <w:r>
        <w:t xml:space="preserve"> </w:t>
      </w:r>
      <w:r>
        <w:t xml:space="preserve">we hypothesize that the effect of number of injuries become</w:t>
      </w:r>
      <w:r>
        <w:t xml:space="preserve"> </w:t>
      </w:r>
      <w:r>
        <w:t xml:space="preserve">insignificant when adjusting for ISS.</w:t>
      </w:r>
    </w:p>
    <w:p>
      <w:pPr>
        <w:pStyle w:val="BodyText"/>
      </w:pPr>
      <w:r>
        <w:t xml:space="preserve">Not many studies regarding trauma and patient level factors have had</w:t>
      </w:r>
      <w:r>
        <w:t xml:space="preserve"> </w:t>
      </w:r>
      <w:r>
        <w:t xml:space="preserve">delayed treatment as their outcome, while many analysing mortality. Some</w:t>
      </w:r>
      <w:r>
        <w:t xml:space="preserve"> </w:t>
      </w:r>
      <w:r>
        <w:t xml:space="preserve">similarities exist with which patient level factors predict the outcome,</w:t>
      </w:r>
      <w:r>
        <w:t xml:space="preserve"> </w:t>
      </w:r>
      <w:r>
        <w:t xml:space="preserve">with higher mortality being seen in patients with lower GCS and higher</w:t>
      </w:r>
      <w:r>
        <w:t xml:space="preserve"> </w:t>
      </w:r>
      <w:r>
        <w:t xml:space="preserve">ISS [</w:t>
      </w:r>
      <w:r>
        <w:t xml:space="preserve">(29)</w:t>
      </w:r>
      <w:r>
        <w:t xml:space="preserve">]</w:t>
      </w:r>
      <w:r>
        <w:t xml:space="preserve">(30)</w:t>
      </w:r>
      <w:r>
        <w:t xml:space="preserve">. Increased age was also a factor linked</w:t>
      </w:r>
      <w:r>
        <w:t xml:space="preserve"> </w:t>
      </w:r>
      <w:r>
        <w:t xml:space="preserve">to mortality, which was not seen to be linked to delayed treatment in</w:t>
      </w:r>
      <w:r>
        <w:t xml:space="preserve"> </w:t>
      </w:r>
      <w:r>
        <w:t xml:space="preserve">this study. An older patient is more likely to have co-morbidities that</w:t>
      </w:r>
      <w:r>
        <w:t xml:space="preserve"> </w:t>
      </w:r>
      <w:r>
        <w:t xml:space="preserve">might affect their mortality but not increase their likelihood of</w:t>
      </w:r>
      <w:r>
        <w:t xml:space="preserve"> </w:t>
      </w:r>
      <w:r>
        <w:t xml:space="preserve">receiving delayed treatment the same way ISS and GCS does</w:t>
      </w:r>
      <w:r>
        <w:t xml:space="preserve">(31)</w:t>
      </w:r>
      <w:r>
        <w:t xml:space="preserve">.</w:t>
      </w:r>
    </w:p>
    <w:p>
      <w:pPr>
        <w:pStyle w:val="BodyText"/>
      </w:pPr>
      <w:r>
        <w:t xml:space="preserve">It is important to keep in mind that delay in treatment does not have a</w:t>
      </w:r>
      <w:r>
        <w:t xml:space="preserve"> </w:t>
      </w:r>
      <w:r>
        <w:t xml:space="preserve">set limit of time as a where under it is within the accepted timeframe</w:t>
      </w:r>
      <w:r>
        <w:t xml:space="preserve"> </w:t>
      </w:r>
      <w:r>
        <w:t xml:space="preserve">and if you go over it, it is considered delayed treatment. The audit</w:t>
      </w:r>
      <w:r>
        <w:t xml:space="preserve"> </w:t>
      </w:r>
      <w:r>
        <w:t xml:space="preserve">filters flag for a wait for CT over 30 minutes and a wait for operation</w:t>
      </w:r>
      <w:r>
        <w:t xml:space="preserve"> </w:t>
      </w:r>
      <w:r>
        <w:t xml:space="preserve">over 60 minutes, which then gets reviewed by previously mentioned two</w:t>
      </w:r>
      <w:r>
        <w:t xml:space="preserve"> </w:t>
      </w:r>
      <w:r>
        <w:t xml:space="preserve">specialized nurses. However, if a patient has a longer wait, it does not</w:t>
      </w:r>
      <w:r>
        <w:t xml:space="preserve"> </w:t>
      </w:r>
      <w:r>
        <w:t xml:space="preserve">necessarily mean that there was a delay. If it takes a longer time for a</w:t>
      </w:r>
      <w:r>
        <w:t xml:space="preserve"> </w:t>
      </w:r>
      <w:r>
        <w:t xml:space="preserve">trauma patient to receive a CT or operation, it might be because there</w:t>
      </w:r>
      <w:r>
        <w:t xml:space="preserve"> </w:t>
      </w:r>
      <w:r>
        <w:t xml:space="preserve">was more urgent matters who had to be taken care of, alternatively, the</w:t>
      </w:r>
      <w:r>
        <w:t xml:space="preserve"> </w:t>
      </w:r>
      <w:r>
        <w:t xml:space="preserve">MoM conference might deem it as the delay was justified for other</w:t>
      </w:r>
      <w:r>
        <w:t xml:space="preserve"> </w:t>
      </w:r>
      <w:r>
        <w:t xml:space="preserve">reasons. The point is that the mean waiting time for CT and operation is</w:t>
      </w:r>
      <w:r>
        <w:t xml:space="preserve"> </w:t>
      </w:r>
      <w:r>
        <w:t xml:space="preserve">higher than 30 and 60 minutes respectively when looking at the database.</w:t>
      </w:r>
      <w:r>
        <w:t xml:space="preserve"> </w:t>
      </w:r>
      <w:r>
        <w:t xml:space="preserve">Using this audit filter as the definition for delay would not mean</w:t>
      </w:r>
      <w:r>
        <w:t xml:space="preserve"> </w:t>
      </w:r>
      <w:r>
        <w:t xml:space="preserve">anything, as the majority of patients would be classified as having</w:t>
      </w:r>
      <w:r>
        <w:t xml:space="preserve"> </w:t>
      </w:r>
      <w:r>
        <w:t xml:space="preserve">waited for too long. Instead, it is the MoM conferences that decide if</w:t>
      </w:r>
      <w:r>
        <w:t xml:space="preserve"> </w:t>
      </w:r>
      <w:r>
        <w:t xml:space="preserve">the delay had any adverse effects for the patient, such as an injury</w:t>
      </w:r>
      <w:r>
        <w:t xml:space="preserve"> </w:t>
      </w:r>
      <w:r>
        <w:t xml:space="preserve">worsening during the time spent waiting without a clear motivation to</w:t>
      </w:r>
      <w:r>
        <w:t xml:space="preserve"> </w:t>
      </w:r>
      <w:r>
        <w:t xml:space="preserve">why it had to wait. It is these cases that they label it as the ofi</w:t>
      </w:r>
      <w:r>
        <w:t xml:space="preserve"> </w:t>
      </w:r>
      <w:r>
        <w:t xml:space="preserve">“</w:t>
      </w:r>
      <w:r>
        <w:t xml:space="preserve">too</w:t>
      </w:r>
      <w:r>
        <w:t xml:space="preserve"> </w:t>
      </w:r>
      <w:r>
        <w:t xml:space="preserve">long until CT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Too long until operation</w:t>
      </w:r>
      <w:r>
        <w:t xml:space="preserve">”</w:t>
      </w:r>
      <w:r>
        <w:t xml:space="preserve">.</w:t>
      </w:r>
    </w:p>
    <w:bookmarkStart w:id="42" w:name="limitations"/>
    <w:p>
      <w:pPr>
        <w:pStyle w:val="Heading4"/>
      </w:pPr>
      <w:r>
        <w:t xml:space="preserve">Limitations</w:t>
      </w:r>
    </w:p>
    <w:p>
      <w:pPr>
        <w:pStyle w:val="FirstParagraph"/>
      </w:pPr>
      <w:r>
        <w:t xml:space="preserve">In this study, one of the limitations was the number of people having</w:t>
      </w:r>
      <w:r>
        <w:t xml:space="preserve"> </w:t>
      </w:r>
      <w:r>
        <w:t xml:space="preserve">the recorded outcome being quite small, leading us into having to limit</w:t>
      </w:r>
      <w:r>
        <w:t xml:space="preserve"> </w:t>
      </w:r>
      <w:r>
        <w:t xml:space="preserve">the number of variables we wanted to examine. Furthermore, the original</w:t>
      </w:r>
      <w:r>
        <w:t xml:space="preserve"> </w:t>
      </w:r>
      <w:r>
        <w:t xml:space="preserve">plan was to divide RR, SBP and GCS into revised trauma score (RTS)</w:t>
      </w:r>
      <w:r>
        <w:t xml:space="preserve"> </w:t>
      </w:r>
      <w:r>
        <w:t xml:space="preserve">categories, from 1-4. However, many of the RTS variables had few to no</w:t>
      </w:r>
      <w:r>
        <w:t xml:space="preserve"> </w:t>
      </w:r>
      <w:r>
        <w:t xml:space="preserve">patients with the observed outcome. This led to separation in the</w:t>
      </w:r>
      <w:r>
        <w:t xml:space="preserve"> </w:t>
      </w:r>
      <w:r>
        <w:t xml:space="preserve">logistic regression in these variables, referring to when an outcome</w:t>
      </w:r>
      <w:r>
        <w:t xml:space="preserve"> </w:t>
      </w:r>
      <w:r>
        <w:t xml:space="preserve">variable separates a predictor variable completely, which occurs when</w:t>
      </w:r>
      <w:r>
        <w:t xml:space="preserve"> </w:t>
      </w:r>
      <w:r>
        <w:t xml:space="preserve">the predictor is only associated with one outcome value</w:t>
      </w:r>
      <w:r>
        <w:t xml:space="preserve"> </w:t>
      </w:r>
      <w:r>
        <w:t xml:space="preserve">(32)</w:t>
      </w:r>
      <w:r>
        <w:t xml:space="preserve">. In the</w:t>
      </w:r>
      <w:r>
        <w:t xml:space="preserve"> </w:t>
      </w:r>
      <w:r>
        <w:t xml:space="preserve">case of these variables, it was only RTS 3 and 4 who had patients with</w:t>
      </w:r>
      <w:r>
        <w:t xml:space="preserve"> </w:t>
      </w:r>
      <w:r>
        <w:t xml:space="preserve">the observed outcome, which left RTS 1 and 2 with confidence intervals</w:t>
      </w:r>
      <w:r>
        <w:t xml:space="preserve"> </w:t>
      </w:r>
      <w:r>
        <w:t xml:space="preserve">of 0.00 to infinity. This way would have been the best way to examine</w:t>
      </w:r>
      <w:r>
        <w:t xml:space="preserve"> </w:t>
      </w:r>
      <w:r>
        <w:t xml:space="preserve">these variables, but as that was not possible with this group of</w:t>
      </w:r>
      <w:r>
        <w:t xml:space="preserve"> </w:t>
      </w:r>
      <w:r>
        <w:t xml:space="preserve">patients, we resorted to making these variables continuous. We</w:t>
      </w:r>
      <w:r>
        <w:t xml:space="preserve"> </w:t>
      </w:r>
      <w:r>
        <w:t xml:space="preserve">considered expanding the outcome group to include more OFI, but opted</w:t>
      </w:r>
      <w:r>
        <w:t xml:space="preserve"> </w:t>
      </w:r>
      <w:r>
        <w:t xml:space="preserve">for the solution used in the study instead as we were solely interested</w:t>
      </w:r>
      <w:r>
        <w:t xml:space="preserve"> </w:t>
      </w:r>
      <w:r>
        <w:t xml:space="preserve">in this OFI for this study.</w:t>
      </w:r>
    </w:p>
    <w:p>
      <w:pPr>
        <w:pStyle w:val="BodyText"/>
      </w:pPr>
      <w:r>
        <w:t xml:space="preserve">The problem mentioned above with too few patients in the outcome group</w:t>
      </w:r>
      <w:r>
        <w:t xml:space="preserve"> </w:t>
      </w:r>
      <w:r>
        <w:t xml:space="preserve">made this into a post hoc analysis. As we did not know the number of</w:t>
      </w:r>
      <w:r>
        <w:t xml:space="preserve"> </w:t>
      </w:r>
      <w:r>
        <w:t xml:space="preserve">people who received delayed treatment when we handled the scrambled</w:t>
      </w:r>
      <w:r>
        <w:t xml:space="preserve"> </w:t>
      </w:r>
      <w:r>
        <w:t xml:space="preserve">data, we ran the code on the real data when we had too many variables</w:t>
      </w:r>
      <w:r>
        <w:t xml:space="preserve"> </w:t>
      </w:r>
      <w:r>
        <w:t xml:space="preserve">for the dataset. Therefore, we had to change the variables after having</w:t>
      </w:r>
      <w:r>
        <w:t xml:space="preserve"> </w:t>
      </w:r>
      <w:r>
        <w:t xml:space="preserve">seen the real data, making it a post hoc analysis. This could in theory</w:t>
      </w:r>
      <w:r>
        <w:t xml:space="preserve"> </w:t>
      </w:r>
      <w:r>
        <w:t xml:space="preserve">open up for possible selection bias, as we might choose variables which</w:t>
      </w:r>
      <w:r>
        <w:t xml:space="preserve"> </w:t>
      </w:r>
      <w:r>
        <w:t xml:space="preserve">give us results we are looking for. However, all the variables included</w:t>
      </w:r>
      <w:r>
        <w:t xml:space="preserve"> </w:t>
      </w:r>
      <w:r>
        <w:t xml:space="preserve">in the final analysis were already included in the first one. Variables</w:t>
      </w:r>
      <w:r>
        <w:t xml:space="preserve"> </w:t>
      </w:r>
      <w:r>
        <w:t xml:space="preserve">were only removed, not added after having seen the real data. The best</w:t>
      </w:r>
      <w:r>
        <w:t xml:space="preserve"> </w:t>
      </w:r>
      <w:r>
        <w:t xml:space="preserve">way to have gone about this would have been to just look at the amount</w:t>
      </w:r>
      <w:r>
        <w:t xml:space="preserve"> </w:t>
      </w:r>
      <w:r>
        <w:t xml:space="preserve">of people who received delayed treatment before choosing the variables.</w:t>
      </w:r>
      <w:r>
        <w:t xml:space="preserve"> </w:t>
      </w:r>
      <w:r>
        <w:t xml:space="preserve">Then, choosing an amount of variables that would work with the amount of</w:t>
      </w:r>
      <w:r>
        <w:t xml:space="preserve"> </w:t>
      </w:r>
      <w:r>
        <w:t xml:space="preserve">patients. This would have avoided making it post hoc and changing the</w:t>
      </w:r>
      <w:r>
        <w:t xml:space="preserve"> </w:t>
      </w:r>
      <w:r>
        <w:t xml:space="preserve">variables after seeing the data.</w:t>
      </w:r>
    </w:p>
    <w:p>
      <w:pPr>
        <w:pStyle w:val="BodyText"/>
      </w:pPr>
      <w:r>
        <w:t xml:space="preserve">On discussing possible biases, misclassification bias might also be</w:t>
      </w:r>
      <w:r>
        <w:t xml:space="preserve"> </w:t>
      </w:r>
      <w:r>
        <w:t xml:space="preserve">present in this study, though it is something that we cannot control in</w:t>
      </w:r>
      <w:r>
        <w:t xml:space="preserve"> </w:t>
      </w:r>
      <w:r>
        <w:t xml:space="preserve">this study. As previously mentioned, the possible existence of an OFI is</w:t>
      </w:r>
      <w:r>
        <w:t xml:space="preserve"> </w:t>
      </w:r>
      <w:r>
        <w:t xml:space="preserve">decided during the MoM conferences, where they then add it to the</w:t>
      </w:r>
      <w:r>
        <w:t xml:space="preserve"> </w:t>
      </w:r>
      <w:r>
        <w:t xml:space="preserve">database. However, they might not always be right in their judgement and</w:t>
      </w:r>
      <w:r>
        <w:t xml:space="preserve"> </w:t>
      </w:r>
      <w:r>
        <w:t xml:space="preserve">misclassify from time to time, leading to patients landing in the wrong</w:t>
      </w:r>
      <w:r>
        <w:t xml:space="preserve"> </w:t>
      </w:r>
      <w:r>
        <w:t xml:space="preserve">group in the analysis. Also, some patients might have been missed even</w:t>
      </w:r>
      <w:r>
        <w:t xml:space="preserve"> </w:t>
      </w:r>
      <w:r>
        <w:t xml:space="preserve">before reaching the MoM conference. The patients included in the</w:t>
      </w:r>
      <w:r>
        <w:t xml:space="preserve"> </w:t>
      </w:r>
      <w:r>
        <w:t xml:space="preserve">conference are selected through audit filters and two specialized</w:t>
      </w:r>
      <w:r>
        <w:t xml:space="preserve"> </w:t>
      </w:r>
      <w:r>
        <w:t xml:space="preserve">nurses, and patients might be missed in this stage. This bias should not</w:t>
      </w:r>
      <w:r>
        <w:t xml:space="preserve"> </w:t>
      </w:r>
      <w:r>
        <w:t xml:space="preserve">be big enough to have a significant impact on the results, but can be</w:t>
      </w:r>
      <w:r>
        <w:t xml:space="preserve"> </w:t>
      </w:r>
      <w:r>
        <w:t xml:space="preserve">kept in mind.</w:t>
      </w:r>
    </w:p>
    <w:bookmarkEnd w:id="42"/>
    <w:bookmarkStart w:id="43" w:name="clinical-applications"/>
    <w:p>
      <w:pPr>
        <w:pStyle w:val="Heading4"/>
      </w:pPr>
      <w:r>
        <w:t xml:space="preserve">Clinical applications</w:t>
      </w:r>
    </w:p>
    <w:p>
      <w:pPr>
        <w:pStyle w:val="FirstParagraph"/>
      </w:pPr>
      <w:r>
        <w:t xml:space="preserve">Further analysing the results and it’s clinical applications, the</w:t>
      </w:r>
      <w:r>
        <w:t xml:space="preserve"> </w:t>
      </w:r>
      <w:r>
        <w:t xml:space="preserve">results can be interpreted as that it is mostly injured patients with</w:t>
      </w:r>
      <w:r>
        <w:t xml:space="preserve"> </w:t>
      </w:r>
      <w:r>
        <w:t xml:space="preserve">affected consciousness that receive delayed treatment. The clinical</w:t>
      </w:r>
      <w:r>
        <w:t xml:space="preserve"> </w:t>
      </w:r>
      <w:r>
        <w:t xml:space="preserve">applications of this can be seen as we need to do more to avoid this</w:t>
      </w:r>
      <w:r>
        <w:t xml:space="preserve"> </w:t>
      </w:r>
      <w:r>
        <w:t xml:space="preserve">delay for this patient group. If clinicians are aware of that these</w:t>
      </w:r>
      <w:r>
        <w:t xml:space="preserve"> </w:t>
      </w:r>
      <w:r>
        <w:t xml:space="preserve">patients receive delayed treatment more frequently, active steps can be</w:t>
      </w:r>
      <w:r>
        <w:t xml:space="preserve"> </w:t>
      </w:r>
      <w:r>
        <w:t xml:space="preserve">taken towards reducing this risk and bettering the trauma care.</w:t>
      </w:r>
    </w:p>
    <w:p>
      <w:pPr>
        <w:pStyle w:val="BodyText"/>
      </w:pPr>
      <w:r>
        <w:t xml:space="preserve">Regarding health equity when looking at the patient demographics, it is</w:t>
      </w:r>
      <w:r>
        <w:t xml:space="preserve"> </w:t>
      </w:r>
      <w:r>
        <w:t xml:space="preserve">clear that the majority admitted to trauma care are men, with it being</w:t>
      </w:r>
      <w:r>
        <w:t xml:space="preserve"> </w:t>
      </w:r>
      <w:r>
        <w:t xml:space="preserve">slightly higher in the delay to treatment group. However, not high</w:t>
      </w:r>
      <w:r>
        <w:t xml:space="preserve"> </w:t>
      </w:r>
      <w:r>
        <w:t xml:space="preserve">enough to be statistically significant. The fact that gender did not</w:t>
      </w:r>
      <w:r>
        <w:t xml:space="preserve"> </w:t>
      </w:r>
      <w:r>
        <w:t xml:space="preserve">show an increased odds ratio should be seen as a positive sign. It</w:t>
      </w:r>
      <w:r>
        <w:t xml:space="preserve"> </w:t>
      </w:r>
      <w:r>
        <w:t xml:space="preserve">suggests that among trauma patients, there is no systematic delay based</w:t>
      </w:r>
      <w:r>
        <w:t xml:space="preserve"> </w:t>
      </w:r>
      <w:r>
        <w:t xml:space="preserve">on this patient level factor.</w:t>
      </w:r>
    </w:p>
    <w:bookmarkEnd w:id="43"/>
    <w:bookmarkStart w:id="44" w:name="generalisability"/>
    <w:p>
      <w:pPr>
        <w:pStyle w:val="Heading4"/>
      </w:pPr>
      <w:r>
        <w:t xml:space="preserve">Generalisability</w:t>
      </w:r>
    </w:p>
    <w:p>
      <w:pPr>
        <w:pStyle w:val="FirstParagraph"/>
      </w:pPr>
      <w:r>
        <w:t xml:space="preserve">Discussing the generalisability of this study, we included the all the</w:t>
      </w:r>
      <w:r>
        <w:t xml:space="preserve"> </w:t>
      </w:r>
      <w:r>
        <w:t xml:space="preserve">trauma patients treated and Karolinska University Hospital and excluded</w:t>
      </w:r>
      <w:r>
        <w:t xml:space="preserve"> </w:t>
      </w:r>
      <w:r>
        <w:t xml:space="preserve">40.7% of that population based on that they had not been screened for</w:t>
      </w:r>
      <w:r>
        <w:t xml:space="preserve"> </w:t>
      </w:r>
      <w:r>
        <w:t xml:space="preserve">ofi. Additional patients were excluded because of missing data, but no</w:t>
      </w:r>
      <w:r>
        <w:t xml:space="preserve"> </w:t>
      </w:r>
      <w:r>
        <w:t xml:space="preserve">distinct groups except the not screened patients were removed. On that</w:t>
      </w:r>
      <w:r>
        <w:t xml:space="preserve"> </w:t>
      </w:r>
      <w:r>
        <w:t xml:space="preserve">basis, this population should be a general representation of trauma</w:t>
      </w:r>
      <w:r>
        <w:t xml:space="preserve"> </w:t>
      </w:r>
      <w:r>
        <w:t xml:space="preserve">patients at the equivalent of a level 1 trauma center, making this study</w:t>
      </w:r>
      <w:r>
        <w:t xml:space="preserve"> </w:t>
      </w:r>
      <w:r>
        <w:t xml:space="preserve">generalisable. While the population only represents Karolinska</w:t>
      </w:r>
      <w:r>
        <w:t xml:space="preserve"> </w:t>
      </w:r>
      <w:r>
        <w:t xml:space="preserve">university hospital, the conclusion is should be applicable to the whole</w:t>
      </w:r>
      <w:r>
        <w:t xml:space="preserve"> </w:t>
      </w:r>
      <w:r>
        <w:t xml:space="preserve">trauma population.</w:t>
      </w:r>
    </w:p>
    <w:bookmarkEnd w:id="44"/>
    <w:bookmarkStart w:id="45" w:name="future-studies"/>
    <w:p>
      <w:pPr>
        <w:pStyle w:val="Heading4"/>
      </w:pPr>
      <w:r>
        <w:t xml:space="preserve">Future studies</w:t>
      </w:r>
    </w:p>
    <w:p>
      <w:pPr>
        <w:pStyle w:val="FirstParagraph"/>
      </w:pPr>
      <w:r>
        <w:t xml:space="preserve">In future studies building upon this one, various methods to further</w:t>
      </w:r>
      <w:r>
        <w:t xml:space="preserve"> </w:t>
      </w:r>
      <w:r>
        <w:t xml:space="preserve">examine the correlation between delayed treatment and various variables,</w:t>
      </w:r>
      <w:r>
        <w:t xml:space="preserve"> </w:t>
      </w:r>
      <w:r>
        <w:t xml:space="preserve">alternatively using another OFI as the outcome variable. Examining</w:t>
      </w:r>
      <w:r>
        <w:t xml:space="preserve"> </w:t>
      </w:r>
      <w:r>
        <w:t xml:space="preserve">different variables such as highest hospital care lever, intubation</w:t>
      </w:r>
      <w:r>
        <w:t xml:space="preserve"> </w:t>
      </w:r>
      <w:r>
        <w:t xml:space="preserve">status or first emergency procedure performed might be interesting</w:t>
      </w:r>
      <w:r>
        <w:t xml:space="preserve"> </w:t>
      </w:r>
      <w:r>
        <w:t xml:space="preserve">variables, among others. To be able to do this, more patients in the</w:t>
      </w:r>
      <w:r>
        <w:t xml:space="preserve"> </w:t>
      </w:r>
      <w:r>
        <w:t xml:space="preserve">outcome group would be needed, either by expanding the register to</w:t>
      </w:r>
      <w:r>
        <w:t xml:space="preserve"> </w:t>
      </w:r>
      <w:r>
        <w:t xml:space="preserve">several hospitals, or expanding the outcome group by adding different</w:t>
      </w:r>
      <w:r>
        <w:t xml:space="preserve"> </w:t>
      </w:r>
      <w:r>
        <w:t xml:space="preserve">ofi. This however would make the study less specific for delayed</w:t>
      </w:r>
      <w:r>
        <w:t xml:space="preserve"> </w:t>
      </w:r>
      <w:r>
        <w:t xml:space="preserve">treatment. Further studies might also look into different ofi other than</w:t>
      </w:r>
      <w:r>
        <w:t xml:space="preserve"> </w:t>
      </w:r>
      <w:r>
        <w:t xml:space="preserve">delayed treatment, such as missed injury, faulty communication or</w:t>
      </w:r>
      <w:r>
        <w:t xml:space="preserve"> </w:t>
      </w:r>
      <w:r>
        <w:t xml:space="preserve">triage.</w:t>
      </w:r>
    </w:p>
    <w:bookmarkEnd w:id="45"/>
    <w:bookmarkStart w:id="4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In conclusion, based on this small population, the results suggests that</w:t>
      </w:r>
      <w:r>
        <w:t xml:space="preserve"> </w:t>
      </w:r>
      <w:r>
        <w:t xml:space="preserve">it is mostly more injured and patients with affected consciousness that</w:t>
      </w:r>
      <w:r>
        <w:t xml:space="preserve"> </w:t>
      </w:r>
      <w:r>
        <w:t xml:space="preserve">receive delayed treatment. However, due to the limitations of this</w:t>
      </w:r>
      <w:r>
        <w:t xml:space="preserve"> </w:t>
      </w:r>
      <w:r>
        <w:t xml:space="preserve">study, the result should only be seen as something to keep in mind when</w:t>
      </w:r>
      <w:r>
        <w:t xml:space="preserve"> </w:t>
      </w:r>
      <w:r>
        <w:t xml:space="preserve">treating patients as further studies need to be conducted on this</w:t>
      </w:r>
      <w:r>
        <w:t xml:space="preserve"> </w:t>
      </w:r>
      <w:r>
        <w:t xml:space="preserve">subject.</w:t>
      </w:r>
    </w:p>
    <w:bookmarkEnd w:id="46"/>
    <w:bookmarkEnd w:id="47"/>
    <w:bookmarkStart w:id="111" w:name="section"/>
    <w:p>
      <w:pPr>
        <w:pStyle w:val="Heading1"/>
      </w:pPr>
    </w:p>
    <w:bookmarkStart w:id="110" w:name="refs"/>
    <w:bookmarkStart w:id="48" w:name="ref-gerdin_risk_20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Gerdin M. The risk of dying: Predicting trauma mortality in urban indian hospitals. Stockholm: Karolinska Institutet; 2015.</w:t>
      </w:r>
      <w:r>
        <w:t xml:space="preserve"> </w:t>
      </w:r>
    </w:p>
    <w:bookmarkEnd w:id="48"/>
    <w:bookmarkStart w:id="50" w:name="ref-WHO_202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Injuries and violence [Internet]. World Health Organization. World Health Organization; 2021. Available from:</w:t>
      </w:r>
      <w:r>
        <w:t xml:space="preserve"> </w:t>
      </w:r>
      <w:hyperlink r:id="rId49">
        <w:r>
          <w:rPr>
            <w:rStyle w:val="Hyperlink"/>
          </w:rPr>
          <w:t xml:space="preserve">https://www.who.int/news-room/fact-sheets/detail/injuries-and-violence</w:t>
        </w:r>
      </w:hyperlink>
    </w:p>
    <w:bookmarkEnd w:id="50"/>
    <w:bookmarkStart w:id="52" w:name="ref-Choi_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Choi J, Carlos G, Nassar AK, Knowlton LM, Spain DA. The impact of trauma systems on patient outcomes [Internet]. Current problems in surgery. U.S. National Library of Medicine; 2021. Available from:</w:t>
      </w:r>
      <w:r>
        <w:t xml:space="preserve"> </w:t>
      </w:r>
      <w:hyperlink r:id="rId51">
        <w:r>
          <w:rPr>
            <w:rStyle w:val="Hyperlink"/>
          </w:rPr>
          <w:t xml:space="preserve">https://www.ncbi.nlm.nih.gov/pmc/articles/PMC7286246/</w:t>
        </w:r>
      </w:hyperlink>
    </w:p>
    <w:bookmarkEnd w:id="52"/>
    <w:bookmarkStart w:id="54" w:name="ref-NIGMS_2020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General Medical Sciences NI of. Physical trauma [Internet]. National Institute of General Medical Sciences. U.S. Department of Health; Human Services; 2020. Available from:</w:t>
      </w:r>
      <w:r>
        <w:t xml:space="preserve"> </w:t>
      </w:r>
      <w:hyperlink r:id="rId53">
        <w:r>
          <w:rPr>
            <w:rStyle w:val="Hyperlink"/>
          </w:rPr>
          <w:t xml:space="preserve">https://nigms.nih.gov/education/fact-sheets/Pages/physical-trauma.aspx</w:t>
        </w:r>
      </w:hyperlink>
    </w:p>
    <w:bookmarkEnd w:id="54"/>
    <w:bookmarkStart w:id="56" w:name="ref-FITCH2019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Blunt versus penetrating trauma: Is there a resource intensity discrepancy? The American Journal of Surgery [Internet]. 2019;218(6):1201–5. Available from:</w:t>
      </w:r>
      <w:r>
        <w:t xml:space="preserve"> </w:t>
      </w:r>
      <w:hyperlink r:id="rId55">
        <w:r>
          <w:rPr>
            <w:rStyle w:val="Hyperlink"/>
          </w:rPr>
          <w:t xml:space="preserve">https://www.sciencedirect.com/science/article/pii/S0002961019303861</w:t>
        </w:r>
      </w:hyperlink>
    </w:p>
    <w:bookmarkEnd w:id="56"/>
    <w:bookmarkStart w:id="58" w:name="ref-AAST_2020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AAST. Trauma_facts_and_links [Internet]. The American Association for the Surgery of Trauma. The American Association for the Surgery of Trauma; 2020. Available from:</w:t>
      </w:r>
      <w:r>
        <w:t xml:space="preserve"> </w:t>
      </w:r>
      <w:hyperlink r:id="rId57">
        <w:r>
          <w:rPr>
            <w:rStyle w:val="Hyperlink"/>
          </w:rPr>
          <w:t xml:space="preserve">https://www.aast.org/resources/trauma-facts</w:t>
        </w:r>
      </w:hyperlink>
    </w:p>
    <w:bookmarkEnd w:id="58"/>
    <w:bookmarkStart w:id="60" w:name="ref-connolly_2018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Connolly R, Woo MY, Lampron J, Perry JJ.</w:t>
      </w:r>
      <w:r>
        <w:t xml:space="preserve"> </w:t>
      </w:r>
      <w:hyperlink r:id="rId59">
        <w:r>
          <w:rPr>
            <w:rStyle w:val="Hyperlink"/>
          </w:rPr>
          <w:t xml:space="preserve">Factors associated with delay in trauma team activation and impact on patient outcomes</w:t>
        </w:r>
      </w:hyperlink>
      <w:r>
        <w:t xml:space="preserve">. Canadian Journal of Emergency Medicine. 2018;20(4):606–13.</w:t>
      </w:r>
      <w:r>
        <w:t xml:space="preserve"> </w:t>
      </w:r>
    </w:p>
    <w:bookmarkEnd w:id="60"/>
    <w:bookmarkStart w:id="62" w:name="ref-Willenberg_2012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Willenberg L, Curtis K, Taylor C, Jan S, Glass P, Myburgh J.</w:t>
      </w:r>
      <w:r>
        <w:t xml:space="preserve"> </w:t>
      </w:r>
      <w:hyperlink r:id="rId61">
        <w:r>
          <w:rPr>
            <w:rStyle w:val="Hyperlink"/>
          </w:rPr>
          <w:t xml:space="preserve">The variation of acute treatment costs of trauma in high-income countries</w:t>
        </w:r>
      </w:hyperlink>
      <w:r>
        <w:t xml:space="preserve">. BMC Health Services Research. 2012;12(1).</w:t>
      </w:r>
      <w:r>
        <w:t xml:space="preserve"> </w:t>
      </w:r>
    </w:p>
    <w:bookmarkEnd w:id="62"/>
    <w:bookmarkStart w:id="64" w:name="ref-Shanthakumar_2021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Shanthakumar D, Payne A, Leitch T, Alfa-Wali M.</w:t>
      </w:r>
      <w:r>
        <w:t xml:space="preserve"> </w:t>
      </w:r>
      <w:hyperlink r:id="rId63">
        <w:r>
          <w:rPr>
            <w:rStyle w:val="Hyperlink"/>
          </w:rPr>
          <w:t xml:space="preserve">Trauma care in low- and middle-income countries</w:t>
        </w:r>
      </w:hyperlink>
      <w:r>
        <w:t xml:space="preserve">. The Surgery Journal. 2021;07(04).</w:t>
      </w:r>
      <w:r>
        <w:t xml:space="preserve"> </w:t>
      </w:r>
    </w:p>
    <w:bookmarkEnd w:id="64"/>
    <w:bookmarkStart w:id="66" w:name="ref-Nirula_2006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Nirula R, Brasel K.</w:t>
      </w:r>
      <w:r>
        <w:t xml:space="preserve"> </w:t>
      </w:r>
      <w:hyperlink r:id="rId65">
        <w:r>
          <w:rPr>
            <w:rStyle w:val="Hyperlink"/>
          </w:rPr>
          <w:t xml:space="preserve">Do trauma centers improve functional outcomes: A national trauma databank analysis?</w:t>
        </w:r>
      </w:hyperlink>
      <w:r>
        <w:t xml:space="preserve"> The Journal of Trauma: Injury, Infection, and Critical Care. 2006 Aug;61(2):268–71.</w:t>
      </w:r>
      <w:r>
        <w:t xml:space="preserve"> </w:t>
      </w:r>
    </w:p>
    <w:bookmarkEnd w:id="66"/>
    <w:bookmarkStart w:id="68" w:name="ref-Candefjord_2020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Candefjord S, Asker L, Caragounis E-C.</w:t>
      </w:r>
      <w:r>
        <w:t xml:space="preserve"> </w:t>
      </w:r>
      <w:hyperlink r:id="rId67">
        <w:r>
          <w:rPr>
            <w:rStyle w:val="Hyperlink"/>
          </w:rPr>
          <w:t xml:space="preserve">Mortality of trauma patients treated at trauma centers compared to non-trauma centers in sweden: A retrospective study</w:t>
        </w:r>
      </w:hyperlink>
      <w:r>
        <w:t xml:space="preserve">. European Journal of Trauma and Emergency Surgery. 2020;48(1):525–36.</w:t>
      </w:r>
      <w:r>
        <w:t xml:space="preserve"> </w:t>
      </w:r>
    </w:p>
    <w:bookmarkEnd w:id="68"/>
    <w:bookmarkStart w:id="70" w:name="ref-Moran_2018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Moran CG, Lecky F, Bouamra O, Lawrence T, Edwards A, Woodford M, et al.</w:t>
      </w:r>
      <w:r>
        <w:t xml:space="preserve"> </w:t>
      </w:r>
      <w:hyperlink r:id="rId69">
        <w:r>
          <w:rPr>
            <w:rStyle w:val="Hyperlink"/>
          </w:rPr>
          <w:t xml:space="preserve">Changing the system - major trauma patients and their outcomes in the NHS (england) 2008–17</w:t>
        </w:r>
      </w:hyperlink>
      <w:r>
        <w:t xml:space="preserve">. EClinicalMedicine. 2018;2–3:13–21.</w:t>
      </w:r>
      <w:r>
        <w:t xml:space="preserve"> </w:t>
      </w:r>
    </w:p>
    <w:bookmarkEnd w:id="70"/>
    <w:bookmarkStart w:id="72" w:name="ref-Celso_2006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Celso B, Tepas J, Langland-Orban B, Pracht E, Papa L, Lottenberg L, et al.</w:t>
      </w:r>
      <w:r>
        <w:t xml:space="preserve"> </w:t>
      </w:r>
      <w:hyperlink r:id="rId71">
        <w:r>
          <w:rPr>
            <w:rStyle w:val="Hyperlink"/>
          </w:rPr>
          <w:t xml:space="preserve">A systematic review and meta-analysis comparing outcome of severely injured patients treated in trauma centers following the establishment of trauma systems</w:t>
        </w:r>
      </w:hyperlink>
      <w:r>
        <w:t xml:space="preserve">. The Journal of Trauma: Injury, Infection, and Critical Care. 2006;60(2):371–8.</w:t>
      </w:r>
      <w:r>
        <w:t xml:space="preserve"> </w:t>
      </w:r>
    </w:p>
    <w:bookmarkEnd w:id="72"/>
    <w:bookmarkStart w:id="74" w:name="ref-MacKenzie_2006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MacKenzie EJ, Rivara FP, Jurkovich GJ, Nathens AB, Frey KP, Egleston BL, et al.</w:t>
      </w:r>
      <w:r>
        <w:t xml:space="preserve"> </w:t>
      </w:r>
      <w:hyperlink r:id="rId73">
        <w:r>
          <w:rPr>
            <w:rStyle w:val="Hyperlink"/>
          </w:rPr>
          <w:t xml:space="preserve">A national evaluation of the effect of trauma-center care on mortality</w:t>
        </w:r>
      </w:hyperlink>
      <w:r>
        <w:t xml:space="preserve">. New England Journal of Medicine. 2006;354(4):366–78.</w:t>
      </w:r>
      <w:r>
        <w:t xml:space="preserve"> </w:t>
      </w:r>
    </w:p>
    <w:bookmarkEnd w:id="74"/>
    <w:bookmarkStart w:id="76" w:name="ref-Haas_2012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Haas B, Stukel TA, Gomez D, Zagorski B, De Mestral C, Sharma SV, et al.</w:t>
      </w:r>
      <w:r>
        <w:t xml:space="preserve"> </w:t>
      </w:r>
      <w:hyperlink r:id="rId75">
        <w:r>
          <w:rPr>
            <w:rStyle w:val="Hyperlink"/>
          </w:rPr>
          <w:t xml:space="preserve">The mortality benefit of direct trauma center transport in a regional trauma system</w:t>
        </w:r>
      </w:hyperlink>
      <w:r>
        <w:t xml:space="preserve">. Journal of Trauma and Acute Care Surgery. 2012;72(6):1510–7.</w:t>
      </w:r>
      <w:r>
        <w:t xml:space="preserve"> </w:t>
      </w:r>
    </w:p>
    <w:bookmarkEnd w:id="76"/>
    <w:bookmarkStart w:id="77" w:name="ref-Asensio_2008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Asensio J, Trunkey D. Current therapy of trauma and surgical critical care. Elsevier; 2008.</w:t>
      </w:r>
      <w:r>
        <w:t xml:space="preserve"> </w:t>
      </w:r>
    </w:p>
    <w:bookmarkEnd w:id="77"/>
    <w:bookmarkStart w:id="79" w:name="ref-ACS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ACS. Trauma systems consultation program [Internet]. ACS. Available from:</w:t>
      </w:r>
      <w:r>
        <w:t xml:space="preserve"> </w:t>
      </w:r>
      <w:hyperlink r:id="rId78">
        <w:r>
          <w:rPr>
            <w:rStyle w:val="Hyperlink"/>
          </w:rPr>
          <w:t xml:space="preserve">https://www.facs.org/quality-programs/trauma/systems/trauma-systems-consultation-program/</w:t>
        </w:r>
      </w:hyperlink>
    </w:p>
    <w:bookmarkEnd w:id="79"/>
    <w:bookmarkStart w:id="81" w:name="ref-västra_G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Johnsson E. Traumateamet – roller och ansvar [Internet]. 2020. Available from:</w:t>
      </w:r>
      <w:r>
        <w:t xml:space="preserve"> </w:t>
      </w:r>
      <w:hyperlink r:id="rId80">
        <w:r>
          <w:rPr>
            <w:rStyle w:val="Hyperlink"/>
          </w:rPr>
          <w:t xml:space="preserve">https://mellanarkiv-offentlig.vgregion.se/alfresco/s/archive/stream/public/v1/source/available/sofia/hs9766-305841775-25/surrogate/Traumateamet%20-%20roller%20och%20ansvar.pdf</w:t>
        </w:r>
      </w:hyperlink>
    </w:p>
    <w:bookmarkEnd w:id="81"/>
    <w:bookmarkStart w:id="83" w:name="ref-Hedberg_2020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Hedberg M, Falkén M, Wihlke G, Jansson S, Hultgren J, Eriksson S, et al. Traumamanual [Internet]. Traumamanual_Karolinska_Universitetssjukhuset_Solna. NKS; 2020. Available from:</w:t>
      </w:r>
      <w:r>
        <w:t xml:space="preserve"> </w:t>
      </w:r>
      <w:hyperlink r:id="rId82">
        <w:r>
          <w:rPr>
            <w:rStyle w:val="Hyperlink"/>
          </w:rPr>
          <w:t xml:space="preserve">https://traumarummet.files.wordpress.com/2020/09/traumamanualen-2020.pdf</w:t>
        </w:r>
      </w:hyperlink>
    </w:p>
    <w:bookmarkEnd w:id="83"/>
    <w:bookmarkStart w:id="85" w:name="ref-SweTrau_2021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SweTrau. The swedish trauma registry (SWETRAU) [Internet]. The Swedish Trauma Registry (SweTrau) | SweTrau. 2021. Available from:</w:t>
      </w:r>
      <w:r>
        <w:t xml:space="preserve"> </w:t>
      </w:r>
      <w:hyperlink r:id="rId84">
        <w:r>
          <w:rPr>
            <w:rStyle w:val="Hyperlink"/>
          </w:rPr>
          <w:t xml:space="preserve">https://rcsyd.se/swetrau/om-swetrau/about-swetrau-in-english/swetrau-the-swedish-trauma-registry</w:t>
        </w:r>
      </w:hyperlink>
    </w:p>
    <w:bookmarkEnd w:id="85"/>
    <w:bookmarkStart w:id="87" w:name="ref-WHO_2009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Guidelines for trauma quality improvement programmes [Internet]. World Health Organization. World Health Organization; 2009. Available from:</w:t>
      </w:r>
      <w:r>
        <w:t xml:space="preserve"> </w:t>
      </w:r>
      <w:hyperlink r:id="rId86">
        <w:r>
          <w:rPr>
            <w:rStyle w:val="Hyperlink"/>
          </w:rPr>
          <w:t xml:space="preserve">https://www.who.int/publications/i/item/guidelines-for-trauma-quality-improvement-programmes</w:t>
        </w:r>
      </w:hyperlink>
    </w:p>
    <w:bookmarkEnd w:id="87"/>
    <w:bookmarkStart w:id="89" w:name="ref-SweTrau_2023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SweTrau. Täckningsgrad [Internet]. Täckningsgrad | SweTrau. 2023. Available from:</w:t>
      </w:r>
      <w:r>
        <w:t xml:space="preserve"> </w:t>
      </w:r>
      <w:hyperlink r:id="rId88">
        <w:r>
          <w:rPr>
            <w:rStyle w:val="Hyperlink"/>
          </w:rPr>
          <w:t xml:space="preserve">https://rcsyd.se/swetrau/om-swetrau/tackningsgrad</w:t>
        </w:r>
      </w:hyperlink>
    </w:p>
    <w:bookmarkEnd w:id="89"/>
    <w:bookmarkStart w:id="91" w:name="ref-Santana_2014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Santana MJ, Stelfox HT.</w:t>
      </w:r>
      <w:r>
        <w:t xml:space="preserve"> </w:t>
      </w:r>
      <w:hyperlink r:id="rId90">
        <w:r>
          <w:rPr>
            <w:rStyle w:val="Hyperlink"/>
          </w:rPr>
          <w:t xml:space="preserve">Development and evaluation of evidence-informed quality indicators for adult injury care</w:t>
        </w:r>
      </w:hyperlink>
      <w:r>
        <w:t xml:space="preserve">. Annals of Surgery. 2014;259(1):186–92.</w:t>
      </w:r>
      <w:r>
        <w:t xml:space="preserve"> </w:t>
      </w:r>
    </w:p>
    <w:bookmarkEnd w:id="91"/>
    <w:bookmarkStart w:id="93" w:name="ref-Teixeira_2007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Teixeira PG, Inaba K, Hadjizacharia P, Brown C, Salim A, Rhee P, et al.</w:t>
      </w:r>
      <w:r>
        <w:t xml:space="preserve"> </w:t>
      </w:r>
      <w:hyperlink r:id="rId92">
        <w:r>
          <w:rPr>
            <w:rStyle w:val="Hyperlink"/>
          </w:rPr>
          <w:t xml:space="preserve">Preventable or potentially preventable mortality at a mature trauma center</w:t>
        </w:r>
      </w:hyperlink>
      <w:r>
        <w:t xml:space="preserve">. Journal of Trauma: Injury, Infection &amp;amp;amp; Critical Care. 2007 Dec;63(6):1338–47.</w:t>
      </w:r>
      <w:r>
        <w:t xml:space="preserve"> </w:t>
      </w:r>
    </w:p>
    <w:bookmarkEnd w:id="93"/>
    <w:bookmarkStart w:id="95" w:name="ref-Sampalis_1995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Sampalis JS, Boukas S, Lavoie A, Nikolis A, Frechette P, Brown R, et al.</w:t>
      </w:r>
      <w:r>
        <w:t xml:space="preserve"> </w:t>
      </w:r>
      <w:hyperlink r:id="rId94">
        <w:r>
          <w:rPr>
            <w:rStyle w:val="Hyperlink"/>
          </w:rPr>
          <w:t xml:space="preserve">Preventable death evaluation of the appropriateness of the on-site trauma care provided by urgences-sante physicians</w:t>
        </w:r>
      </w:hyperlink>
      <w:r>
        <w:t xml:space="preserve">. The Journal of Trauma: Injury, Infection, and Critical Care. 1995;39(6):1029–35.</w:t>
      </w:r>
      <w:r>
        <w:t xml:space="preserve"> </w:t>
      </w:r>
    </w:p>
    <w:bookmarkEnd w:id="95"/>
    <w:bookmarkStart w:id="97" w:name="ref-Sampalis_1994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Sampalis JS, Lavoie A, Salas M, Nikolis A, Williams JI.</w:t>
      </w:r>
      <w:r>
        <w:t xml:space="preserve"> </w:t>
      </w:r>
      <w:hyperlink r:id="rId96">
        <w:r>
          <w:rPr>
            <w:rStyle w:val="Hyperlink"/>
          </w:rPr>
          <w:t xml:space="preserve">Determinants of on-scene time in injured patients treated by physicians at the site</w:t>
        </w:r>
      </w:hyperlink>
      <w:r>
        <w:t xml:space="preserve">. Prehospital and Disaster Medicine. 1994;9(3):178–88.</w:t>
      </w:r>
      <w:r>
        <w:t xml:space="preserve"> </w:t>
      </w:r>
    </w:p>
    <w:bookmarkEnd w:id="97"/>
    <w:bookmarkStart w:id="99" w:name="ref-Pat_factors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Albaaj H, Attergrim J, Strömmer L, Brattström O, Jacobsson M, Wihlke G, et al.</w:t>
      </w:r>
      <w:r>
        <w:t xml:space="preserve"> </w:t>
      </w:r>
      <w:hyperlink r:id="rId98">
        <w:r>
          <w:rPr>
            <w:rStyle w:val="Hyperlink"/>
          </w:rPr>
          <w:t xml:space="preserve">Patient and process factors associated with opportunities for improvement in trauma care: A registry-based study</w:t>
        </w:r>
      </w:hyperlink>
      <w:r>
        <w:t xml:space="preserve">. Scandinavian Journal of Trauma, Resuscitation and Emergency Medicine. 2023;31(1).</w:t>
      </w:r>
      <w:r>
        <w:t xml:space="preserve"> </w:t>
      </w:r>
    </w:p>
    <w:bookmarkEnd w:id="99"/>
    <w:bookmarkStart w:id="101" w:name="ref-EHCP2015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Effective Health Care Program. AHRQ; 2015. Available from:</w:t>
      </w:r>
      <w:r>
        <w:t xml:space="preserve"> </w:t>
      </w:r>
      <w:hyperlink r:id="rId100">
        <w:r>
          <w:rPr>
            <w:rStyle w:val="Hyperlink"/>
          </w:rPr>
          <w:t xml:space="preserve">https://effectivehealthcare.ahrq.gov/sites/default/files/evidence-summary_predictors-trauma-care_cer-205.pdf</w:t>
        </w:r>
      </w:hyperlink>
    </w:p>
    <w:bookmarkEnd w:id="101"/>
    <w:bookmarkStart w:id="103" w:name="ref-Mort_sammy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Sammy I, Lecky F, Sutton A, Leaviss J, O’Cathain A.</w:t>
      </w:r>
      <w:r>
        <w:t xml:space="preserve"> </w:t>
      </w:r>
      <w:hyperlink r:id="rId102">
        <w:r>
          <w:rPr>
            <w:rStyle w:val="Hyperlink"/>
          </w:rPr>
          <w:t xml:space="preserve">Factors affecting mortality in older trauma patients—a systematic review and meta-analysis</w:t>
        </w:r>
      </w:hyperlink>
      <w:r>
        <w:t xml:space="preserve">. Injury. 2016;47(6):1170–83.</w:t>
      </w:r>
      <w:r>
        <w:t xml:space="preserve"> </w:t>
      </w:r>
    </w:p>
    <w:bookmarkEnd w:id="103"/>
    <w:bookmarkStart w:id="105" w:name="ref-Mort_hefny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Hefny A, Idris K, Eid H, Abu-Zidan F.</w:t>
      </w:r>
      <w:r>
        <w:t xml:space="preserve"> </w:t>
      </w:r>
      <w:hyperlink r:id="rId104">
        <w:r>
          <w:rPr>
            <w:rStyle w:val="Hyperlink"/>
          </w:rPr>
          <w:t xml:space="preserve">Factors affecting mortality of critical care trauma patients</w:t>
        </w:r>
      </w:hyperlink>
      <w:r>
        <w:t xml:space="preserve">. African Health Sciences. 2013;13(3).</w:t>
      </w:r>
      <w:r>
        <w:t xml:space="preserve"> </w:t>
      </w:r>
    </w:p>
    <w:bookmarkEnd w:id="105"/>
    <w:bookmarkStart w:id="107" w:name="ref-Gioffre2018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Gioffre-Florio M.</w:t>
      </w:r>
      <w:r>
        <w:t xml:space="preserve"> </w:t>
      </w:r>
      <w:hyperlink r:id="rId106">
        <w:r>
          <w:rPr>
            <w:rStyle w:val="Hyperlink"/>
          </w:rPr>
          <w:t xml:space="preserve">Trauma in elderly patients: A study of prevalence, comorbidities and gender differences</w:t>
        </w:r>
      </w:hyperlink>
      <w:r>
        <w:t xml:space="preserve">. Giornale di Chirurgia - Journal of Surgery. 2018;39(1):35.</w:t>
      </w:r>
      <w:r>
        <w:t xml:space="preserve"> </w:t>
      </w:r>
    </w:p>
    <w:bookmarkEnd w:id="107"/>
    <w:bookmarkStart w:id="109" w:name="ref-OARC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OARC Stats. UCLA Statistical Consulting Group; Available from:</w:t>
      </w:r>
      <w:r>
        <w:t xml:space="preserve"> </w:t>
      </w:r>
      <w:hyperlink r:id="rId108">
        <w:r>
          <w:rPr>
            <w:rStyle w:val="Hyperlink"/>
          </w:rPr>
          <w:t xml:space="preserve">https://stats.oarc.ucla.edu/other/mult-pkg/faq/general/faqwhat-is-complete-or-quasi-complete-separation-in-logistic-regression-and-what-are-some-strategies-to-deal-with-the-issue/</w:t>
        </w:r>
      </w:hyperlink>
    </w:p>
    <w:bookmarkEnd w:id="109"/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hyperlink" Id="rId67" Target="https://doi.org/10.1007/s00068-020-01446-6" TargetMode="External" /><Relationship Type="http://schemas.openxmlformats.org/officeDocument/2006/relationships/hyperlink" Id="rId69" Target="https://doi.org/10.1016/j.eclinm.2018.07.001" TargetMode="External" /><Relationship Type="http://schemas.openxmlformats.org/officeDocument/2006/relationships/hyperlink" Id="rId102" Target="https://doi.org/10.1016/j.injury.2016.02.027" TargetMode="External" /><Relationship Type="http://schemas.openxmlformats.org/officeDocument/2006/relationships/hyperlink" Id="rId59" Target="https://doi.org/10.1017/cem.2017.389" TargetMode="External" /><Relationship Type="http://schemas.openxmlformats.org/officeDocument/2006/relationships/hyperlink" Id="rId96" Target="https://doi.org/10.1017/s1049023x00041303" TargetMode="External" /><Relationship Type="http://schemas.openxmlformats.org/officeDocument/2006/relationships/hyperlink" Id="rId63" Target="https://doi.org/10.1055/s-0041-1732351" TargetMode="External" /><Relationship Type="http://schemas.openxmlformats.org/officeDocument/2006/relationships/hyperlink" Id="rId73" Target="https://doi.org/10.1056/nejmsa052049" TargetMode="External" /><Relationship Type="http://schemas.openxmlformats.org/officeDocument/2006/relationships/hyperlink" Id="rId94" Target="https://doi.org/10.1097/00005373-199512000-00002" TargetMode="External" /><Relationship Type="http://schemas.openxmlformats.org/officeDocument/2006/relationships/hyperlink" Id="rId71" Target="https://doi.org/10.1097/01.ta.0000197916.99629.eb" TargetMode="External" /><Relationship Type="http://schemas.openxmlformats.org/officeDocument/2006/relationships/hyperlink" Id="rId65" Target="https://doi.org/10.1097/01.ta.0000230305.36456.4e" TargetMode="External" /><Relationship Type="http://schemas.openxmlformats.org/officeDocument/2006/relationships/hyperlink" Id="rId90" Target="https://doi.org/10.1097/sla.0b013e31828df98e" TargetMode="External" /><Relationship Type="http://schemas.openxmlformats.org/officeDocument/2006/relationships/hyperlink" Id="rId92" Target="https://doi.org/10.1097/ta.0b013e31815078ae" TargetMode="External" /><Relationship Type="http://schemas.openxmlformats.org/officeDocument/2006/relationships/hyperlink" Id="rId75" Target="https://doi.org/10.1097/ta.0b013e318252510a" TargetMode="External" /><Relationship Type="http://schemas.openxmlformats.org/officeDocument/2006/relationships/hyperlink" Id="rId106" Target="https://doi.org/10.11138/gchir/2018.39.1.035" TargetMode="External" /><Relationship Type="http://schemas.openxmlformats.org/officeDocument/2006/relationships/hyperlink" Id="rId61" Target="https://doi.org/10.1186/1472-6963-12-267" TargetMode="External" /><Relationship Type="http://schemas.openxmlformats.org/officeDocument/2006/relationships/hyperlink" Id="rId98" Target="https://doi.org/10.1186/s13049-023-01157-y" TargetMode="External" /><Relationship Type="http://schemas.openxmlformats.org/officeDocument/2006/relationships/hyperlink" Id="rId104" Target="https://doi.org/10.4314/ahs.v13i3.30" TargetMode="External" /><Relationship Type="http://schemas.openxmlformats.org/officeDocument/2006/relationships/hyperlink" Id="rId100" Target="https://effectivehealthcare.ahrq.gov/sites/default/files/evidence-summary_predictors-trauma-care_cer-205.pdf" TargetMode="External" /><Relationship Type="http://schemas.openxmlformats.org/officeDocument/2006/relationships/hyperlink" Id="rId80" Target="https://mellanarkiv-offentlig.vgregion.se/alfresco/s/archive/stream/public/v1/source/available/sofia/hs9766-305841775-25/surrogate/Traumateamet%20-%20roller%20och%20ansvar.pdf" TargetMode="External" /><Relationship Type="http://schemas.openxmlformats.org/officeDocument/2006/relationships/hyperlink" Id="rId53" Target="https://nigms.nih.gov/education/fact-sheets/Pages/physical-trauma.aspx" TargetMode="External" /><Relationship Type="http://schemas.openxmlformats.org/officeDocument/2006/relationships/hyperlink" Id="rId84" Target="https://rcsyd.se/swetrau/om-swetrau/about-swetrau-in-english/swetrau-the-swedish-trauma-registry" TargetMode="External" /><Relationship Type="http://schemas.openxmlformats.org/officeDocument/2006/relationships/hyperlink" Id="rId88" Target="https://rcsyd.se/swetrau/om-swetrau/tackningsgrad" TargetMode="External" /><Relationship Type="http://schemas.openxmlformats.org/officeDocument/2006/relationships/hyperlink" Id="rId108" Target="https://stats.oarc.ucla.edu/other/mult-pkg/faq/general/faqwhat-is-complete-or-quasi-complete-separation-in-logistic-regression-and-what-are-some-strategies-to-deal-with-the-issue/" TargetMode="External" /><Relationship Type="http://schemas.openxmlformats.org/officeDocument/2006/relationships/hyperlink" Id="rId82" Target="https://traumarummet.files.wordpress.com/2020/09/traumamanualen-2020.pdf" TargetMode="External" /><Relationship Type="http://schemas.openxmlformats.org/officeDocument/2006/relationships/hyperlink" Id="rId57" Target="https://www.aast.org/resources/trauma-facts" TargetMode="External" /><Relationship Type="http://schemas.openxmlformats.org/officeDocument/2006/relationships/hyperlink" Id="rId78" Target="https://www.facs.org/quality-programs/trauma/systems/trauma-systems-consultation-program/" TargetMode="External" /><Relationship Type="http://schemas.openxmlformats.org/officeDocument/2006/relationships/hyperlink" Id="rId51" Target="https://www.ncbi.nlm.nih.gov/pmc/articles/PMC7286246/" TargetMode="External" /><Relationship Type="http://schemas.openxmlformats.org/officeDocument/2006/relationships/hyperlink" Id="rId55" Target="https://www.sciencedirect.com/science/article/pii/S0002961019303861" TargetMode="External" /><Relationship Type="http://schemas.openxmlformats.org/officeDocument/2006/relationships/hyperlink" Id="rId49" Target="https://www.who.int/news-room/fact-sheets/detail/injuries-and-violence" TargetMode="External" /><Relationship Type="http://schemas.openxmlformats.org/officeDocument/2006/relationships/hyperlink" Id="rId86" Target="https://www.who.int/publications/i/item/guidelines-for-trauma-quality-improvement-programm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doi.org/10.1007/s00068-020-01446-6" TargetMode="External" /><Relationship Type="http://schemas.openxmlformats.org/officeDocument/2006/relationships/hyperlink" Id="rId69" Target="https://doi.org/10.1016/j.eclinm.2018.07.001" TargetMode="External" /><Relationship Type="http://schemas.openxmlformats.org/officeDocument/2006/relationships/hyperlink" Id="rId102" Target="https://doi.org/10.1016/j.injury.2016.02.027" TargetMode="External" /><Relationship Type="http://schemas.openxmlformats.org/officeDocument/2006/relationships/hyperlink" Id="rId59" Target="https://doi.org/10.1017/cem.2017.389" TargetMode="External" /><Relationship Type="http://schemas.openxmlformats.org/officeDocument/2006/relationships/hyperlink" Id="rId96" Target="https://doi.org/10.1017/s1049023x00041303" TargetMode="External" /><Relationship Type="http://schemas.openxmlformats.org/officeDocument/2006/relationships/hyperlink" Id="rId63" Target="https://doi.org/10.1055/s-0041-1732351" TargetMode="External" /><Relationship Type="http://schemas.openxmlformats.org/officeDocument/2006/relationships/hyperlink" Id="rId73" Target="https://doi.org/10.1056/nejmsa052049" TargetMode="External" /><Relationship Type="http://schemas.openxmlformats.org/officeDocument/2006/relationships/hyperlink" Id="rId94" Target="https://doi.org/10.1097/00005373-199512000-00002" TargetMode="External" /><Relationship Type="http://schemas.openxmlformats.org/officeDocument/2006/relationships/hyperlink" Id="rId71" Target="https://doi.org/10.1097/01.ta.0000197916.99629.eb" TargetMode="External" /><Relationship Type="http://schemas.openxmlformats.org/officeDocument/2006/relationships/hyperlink" Id="rId65" Target="https://doi.org/10.1097/01.ta.0000230305.36456.4e" TargetMode="External" /><Relationship Type="http://schemas.openxmlformats.org/officeDocument/2006/relationships/hyperlink" Id="rId90" Target="https://doi.org/10.1097/sla.0b013e31828df98e" TargetMode="External" /><Relationship Type="http://schemas.openxmlformats.org/officeDocument/2006/relationships/hyperlink" Id="rId92" Target="https://doi.org/10.1097/ta.0b013e31815078ae" TargetMode="External" /><Relationship Type="http://schemas.openxmlformats.org/officeDocument/2006/relationships/hyperlink" Id="rId75" Target="https://doi.org/10.1097/ta.0b013e318252510a" TargetMode="External" /><Relationship Type="http://schemas.openxmlformats.org/officeDocument/2006/relationships/hyperlink" Id="rId106" Target="https://doi.org/10.11138/gchir/2018.39.1.035" TargetMode="External" /><Relationship Type="http://schemas.openxmlformats.org/officeDocument/2006/relationships/hyperlink" Id="rId61" Target="https://doi.org/10.1186/1472-6963-12-267" TargetMode="External" /><Relationship Type="http://schemas.openxmlformats.org/officeDocument/2006/relationships/hyperlink" Id="rId98" Target="https://doi.org/10.1186/s13049-023-01157-y" TargetMode="External" /><Relationship Type="http://schemas.openxmlformats.org/officeDocument/2006/relationships/hyperlink" Id="rId104" Target="https://doi.org/10.4314/ahs.v13i3.30" TargetMode="External" /><Relationship Type="http://schemas.openxmlformats.org/officeDocument/2006/relationships/hyperlink" Id="rId100" Target="https://effectivehealthcare.ahrq.gov/sites/default/files/evidence-summary_predictors-trauma-care_cer-205.pdf" TargetMode="External" /><Relationship Type="http://schemas.openxmlformats.org/officeDocument/2006/relationships/hyperlink" Id="rId80" Target="https://mellanarkiv-offentlig.vgregion.se/alfresco/s/archive/stream/public/v1/source/available/sofia/hs9766-305841775-25/surrogate/Traumateamet%20-%20roller%20och%20ansvar.pdf" TargetMode="External" /><Relationship Type="http://schemas.openxmlformats.org/officeDocument/2006/relationships/hyperlink" Id="rId53" Target="https://nigms.nih.gov/education/fact-sheets/Pages/physical-trauma.aspx" TargetMode="External" /><Relationship Type="http://schemas.openxmlformats.org/officeDocument/2006/relationships/hyperlink" Id="rId84" Target="https://rcsyd.se/swetrau/om-swetrau/about-swetrau-in-english/swetrau-the-swedish-trauma-registry" TargetMode="External" /><Relationship Type="http://schemas.openxmlformats.org/officeDocument/2006/relationships/hyperlink" Id="rId88" Target="https://rcsyd.se/swetrau/om-swetrau/tackningsgrad" TargetMode="External" /><Relationship Type="http://schemas.openxmlformats.org/officeDocument/2006/relationships/hyperlink" Id="rId108" Target="https://stats.oarc.ucla.edu/other/mult-pkg/faq/general/faqwhat-is-complete-or-quasi-complete-separation-in-logistic-regression-and-what-are-some-strategies-to-deal-with-the-issue/" TargetMode="External" /><Relationship Type="http://schemas.openxmlformats.org/officeDocument/2006/relationships/hyperlink" Id="rId82" Target="https://traumarummet.files.wordpress.com/2020/09/traumamanualen-2020.pdf" TargetMode="External" /><Relationship Type="http://schemas.openxmlformats.org/officeDocument/2006/relationships/hyperlink" Id="rId57" Target="https://www.aast.org/resources/trauma-facts" TargetMode="External" /><Relationship Type="http://schemas.openxmlformats.org/officeDocument/2006/relationships/hyperlink" Id="rId78" Target="https://www.facs.org/quality-programs/trauma/systems/trauma-systems-consultation-program/" TargetMode="External" /><Relationship Type="http://schemas.openxmlformats.org/officeDocument/2006/relationships/hyperlink" Id="rId51" Target="https://www.ncbi.nlm.nih.gov/pmc/articles/PMC7286246/" TargetMode="External" /><Relationship Type="http://schemas.openxmlformats.org/officeDocument/2006/relationships/hyperlink" Id="rId55" Target="https://www.sciencedirect.com/science/article/pii/S0002961019303861" TargetMode="External" /><Relationship Type="http://schemas.openxmlformats.org/officeDocument/2006/relationships/hyperlink" Id="rId49" Target="https://www.who.int/news-room/fact-sheets/detail/injuries-and-violence" TargetMode="External" /><Relationship Type="http://schemas.openxmlformats.org/officeDocument/2006/relationships/hyperlink" Id="rId86" Target="https://www.who.int/publications/i/item/guidelines-for-trauma-quality-improvement-programm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Trauma treatment delay</dc:title>
  <dc:creator>Anton Wasielewski</dc:creator>
  <cp:keywords/>
  <dcterms:created xsi:type="dcterms:W3CDTF">2023-12-18T12:03:22Z</dcterms:created>
  <dcterms:modified xsi:type="dcterms:W3CDTF">2023-12-18T12:03:22Z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vancouver.csl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subtitle">
    <vt:lpwstr>A retrospective cohort study on the factors affecting the delays in trauma care</vt:lpwstr>
  </property>
</Properties>
</file>