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94560" cy="1463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s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</w:pPr>
    </w:p>
    <w:p>
      <w:pPr>
        <w:spacing w:after="40" w:before="0"/>
      </w:pPr>
      <w:r>
        <w:rPr>
          <w:rFonts w:ascii="Calibri" w:hAnsi="Calibri"/>
          <w:b/>
          <w:i w:val="0"/>
          <w:color w:val="5A6675"/>
          <w:sz w:val="24"/>
        </w:rPr>
        <w:t>IONITY GLOBAL (Pty) Ltd</w:t>
      </w:r>
    </w:p>
    <w:p>
      <w:pPr>
        <w:spacing w:after="280" w:before="0"/>
      </w:pPr>
      <w:r>
        <w:rPr>
          <w:rFonts w:ascii="Calibri" w:hAnsi="Calibri"/>
          <w:b/>
          <w:i w:val="0"/>
          <w:color w:val="FF6B35"/>
          <w:sz w:val="22"/>
        </w:rPr>
        <w:t>PROCESS BRIEFING NOTE</w:t>
      </w:r>
    </w:p>
    <w:p>
      <w:pPr>
        <w:spacing w:after="80" w:before="0"/>
      </w:pPr>
      <w:r>
        <w:rPr>
          <w:rFonts w:ascii="Calibri" w:hAnsi="Calibri"/>
          <w:b/>
          <w:i w:val="0"/>
          <w:color w:val="0D2137"/>
          <w:sz w:val="52"/>
        </w:rPr>
        <w:t>Zone → Ai-OS: The Shopping-Mall Implementation Model</w:t>
      </w:r>
    </w:p>
    <w:p>
      <w:pPr>
        <w:spacing w:after="280" w:before="0"/>
      </w:pPr>
      <w:r>
        <w:rPr>
          <w:rFonts w:ascii="Calibri" w:hAnsi="Calibri"/>
          <w:b w:val="0"/>
          <w:i/>
          <w:color w:val="15314F"/>
          <w:sz w:val="26"/>
        </w:rPr>
        <w:t>Explaining the interactive diagram for the NDOH Digital Health Discovery engagement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0D2137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 xml:space="preserve">  Date</w:t>
            </w:r>
          </w:p>
        </w:tc>
        <w:tc>
          <w:tcPr>
            <w:tcW w:type="dxa" w:w="4824"/>
            <w:shd w:val="clear" w:color="auto" w:fill="EEF2F6"/>
          </w:tcPr>
          <w:p>
            <w:r>
              <w:rPr>
                <w:rFonts w:ascii="Calibri" w:hAnsi="Calibri"/>
                <w:b w:val="0"/>
                <w:i w:val="0"/>
                <w:color w:val="0D2137"/>
                <w:sz w:val="19"/>
              </w:rPr>
              <w:t xml:space="preserve">  22 August 2026</w:t>
            </w:r>
          </w:p>
        </w:tc>
      </w:tr>
      <w:tr>
        <w:tc>
          <w:tcPr>
            <w:tcW w:type="dxa" w:w="4824"/>
            <w:shd w:val="clear" w:color="auto" w:fill="0D2137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 xml:space="preserve">  Category</w:t>
            </w:r>
          </w:p>
        </w:tc>
        <w:tc>
          <w:tcPr>
            <w:tcW w:type="dxa" w:w="4824"/>
            <w:shd w:val="clear" w:color="auto" w:fill="EEF2F6"/>
          </w:tcPr>
          <w:p>
            <w:r>
              <w:rPr>
                <w:rFonts w:ascii="Calibri" w:hAnsi="Calibri"/>
                <w:b w:val="0"/>
                <w:i w:val="0"/>
                <w:color w:val="0D2137"/>
                <w:sz w:val="19"/>
              </w:rPr>
              <w:t xml:space="preserve">  Digital Health · AI Systems Architecture — NDOH IT-Discovery (Phase 1)</w:t>
            </w:r>
          </w:p>
        </w:tc>
      </w:tr>
      <w:tr>
        <w:tc>
          <w:tcPr>
            <w:tcW w:type="dxa" w:w="4824"/>
            <w:shd w:val="clear" w:color="auto" w:fill="0D2137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 xml:space="preserve">  Attendees</w:t>
            </w:r>
          </w:p>
        </w:tc>
        <w:tc>
          <w:tcPr>
            <w:tcW w:type="dxa" w:w="4824"/>
            <w:shd w:val="clear" w:color="auto" w:fill="EEF2F6"/>
          </w:tcPr>
          <w:p>
            <w:r>
              <w:rPr>
                <w:rFonts w:ascii="Calibri" w:hAnsi="Calibri"/>
                <w:b w:val="0"/>
                <w:i w:val="0"/>
                <w:color w:val="0D2137"/>
                <w:sz w:val="19"/>
              </w:rPr>
              <w:t xml:space="preserve">  Johan Wilhelm van Antwerp (Ionity Global) · NDOH HIV, TB &amp; MCWH (Missy) · Dr Ndombe (facilitator) · Shout-It-Now</w:t>
            </w:r>
          </w:p>
        </w:tc>
      </w:tr>
      <w:tr>
        <w:tc>
          <w:tcPr>
            <w:tcW w:type="dxa" w:w="4824"/>
            <w:shd w:val="clear" w:color="auto" w:fill="0D2137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 xml:space="preserve">  Reference</w:t>
            </w:r>
          </w:p>
        </w:tc>
        <w:tc>
          <w:tcPr>
            <w:tcW w:type="dxa" w:w="4824"/>
            <w:shd w:val="clear" w:color="auto" w:fill="EEF2F6"/>
          </w:tcPr>
          <w:p>
            <w:r>
              <w:rPr>
                <w:rFonts w:ascii="Calibri" w:hAnsi="Calibri"/>
                <w:b w:val="0"/>
                <w:i w:val="0"/>
                <w:color w:val="0D2137"/>
                <w:sz w:val="19"/>
              </w:rPr>
              <w:t xml:space="preserve">  ION-NDOH-SOW-2026-001 (companion note)</w:t>
            </w:r>
          </w:p>
        </w:tc>
      </w:tr>
    </w:tbl>
    <w:p>
      <w:pPr>
        <w:spacing w:after="320" w:before="0"/>
      </w:pPr>
    </w:p>
    <w:p>
      <w:pPr>
        <w:spacing w:after="40" w:before="0"/>
      </w:pPr>
      <w:r>
        <w:rPr>
          <w:rFonts w:ascii="Calibri" w:hAnsi="Calibri"/>
          <w:b/>
          <w:i w:val="0"/>
          <w:color w:val="FF6B35"/>
          <w:sz w:val="22"/>
        </w:rPr>
        <w:t>Building Tomorrow, Today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5A6675"/>
          <w:sz w:val="18"/>
        </w:rPr>
        <w:t>www.ionity.today   |   ai@ionity.today   |   +27 64 699 9877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5A6675"/>
          <w:sz w:val="17"/>
        </w:rPr>
        <w:t>CONFIDENTIAL  -  ION-NDOH-BRIEF-2026-001  |  Version 1.0  |  22 August 2026</w:t>
      </w:r>
    </w:p>
    <w:p>
      <w:r>
        <w:br w:type="page"/>
      </w:r>
    </w:p>
    <w:p>
      <w:pPr>
        <w:spacing w:before="280" w:after="120"/>
        <w:pBdr>
          <w:bottom w:val="single" w:sz="10" w:space="4" w:color="FF6B35"/>
        </w:pBdr>
      </w:pPr>
      <w:r>
        <w:rPr>
          <w:rFonts w:ascii="Calibri" w:hAnsi="Calibri"/>
          <w:b/>
          <w:i w:val="0"/>
          <w:color w:val="0D2137"/>
          <w:sz w:val="30"/>
        </w:rPr>
        <w:t>Index - Table of Contents</w:t>
      </w:r>
    </w:p>
    <w:p>
      <w:pPr>
        <w:spacing w:after="60" w:before="0"/>
      </w:pPr>
      <w:r>
        <w:rPr>
          <w:rFonts w:ascii="Calibri" w:hAnsi="Calibri"/>
          <w:b/>
          <w:i w:val="0"/>
          <w:color w:val="15314F"/>
          <w:sz w:val="21"/>
        </w:rPr>
        <w:t>Executive Summary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33414F"/>
          <w:sz w:val="21"/>
        </w:rPr>
        <w:t>1. The Five Stages, Mapped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33414F"/>
          <w:sz w:val="21"/>
        </w:rPr>
        <w:t>2. Where This Sits in the Engagement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33414F"/>
          <w:sz w:val="21"/>
        </w:rPr>
        <w:t>3. Sources &amp; Open Items</w:t>
      </w:r>
    </w:p>
    <w:p>
      <w:pPr>
        <w:spacing w:after="120" w:before="60"/>
      </w:pPr>
      <w:r>
        <w:rPr>
          <w:rFonts w:ascii="Calibri" w:hAnsi="Calibri"/>
          <w:b/>
          <w:i w:val="0"/>
          <w:color w:val="15314F"/>
          <w:sz w:val="21"/>
        </w:rPr>
        <w:t>Action Items &amp; Next Steps</w:t>
      </w:r>
    </w:p>
    <w:p>
      <w:r>
        <w:br w:type="page"/>
      </w:r>
    </w:p>
    <w:p>
      <w:pPr>
        <w:spacing w:before="280" w:after="120"/>
        <w:pBdr>
          <w:bottom w:val="single" w:sz="10" w:space="4" w:color="FF6B35"/>
        </w:pBdr>
      </w:pPr>
      <w:r>
        <w:rPr>
          <w:rFonts w:ascii="Calibri" w:hAnsi="Calibri"/>
          <w:b/>
          <w:i w:val="0"/>
          <w:color w:val="0D2137"/>
          <w:sz w:val="30"/>
        </w:rPr>
        <w:t>Executive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48"/>
      </w:tblGrid>
      <w:tr>
        <w:tc>
          <w:tcPr>
            <w:tcW w:type="dxa" w:w="9648"/>
            <w:shd w:val="clear" w:color="auto" w:fill="EEF2F6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6B35"/>
                <w:sz w:val="18"/>
              </w:rPr>
              <w:t xml:space="preserve">CONTEXT  </w:t>
            </w:r>
            <w:r>
              <w:rPr>
                <w:rFonts w:ascii="Calibri" w:hAnsi="Calibri"/>
                <w:b w:val="0"/>
                <w:i/>
                <w:color w:val="15314F"/>
                <w:sz w:val="20"/>
              </w:rPr>
              <w:t>Companion note to the Zone → Ai-OS interactive diagram delivered alongside Phase 1 of the NDOH Digital Health Discovery engagement (ref. ION-NDOH-SOW-2026-001). The diagram shows the implementation model visually and deliberately explains nothing; this note carries the explanation.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33414F"/>
          <w:sz w:val="21"/>
        </w:rPr>
        <w:t>The diagram maps five stages — Zone, Assets, Push AI, Network, Ai-OS — onto the Department's own vision for a governed digital health ‘shopping mall’, as set out in the August 2026 scoping discussions between the NDOH (HIV, TB &amp; MCWH Branch), Dr Ndombe, Shout-It-Now and Ionity Global, and formalised in the Phase 1 Preliminary Scope of Work.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414F"/>
          <w:sz w:val="21"/>
        </w:rPr>
        <w:t>In short: the mall is the Zone; every existing patient-facing tool — B-Wise, Self-Help for Youth, MomConnect and others confirmed with the Technical Working Group — is an Asset placed inside it, audited rather than rebuilt; AI-assisted routing between life stages is the intelligence Pushed into the mall's core; tools that were never connected become one Network; and the endpoint is a single, governed, life-course Ai-OS. Phase 1 — the IT-Discovery &amp; Status Audit now underway — exists solely to earn the evidence that makes stages two through five possible; nothing is built, hosted or connected until that audit closes.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D2137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5</w:t>
            </w:r>
          </w:p>
        </w:tc>
        <w:tc>
          <w:tcPr>
            <w:tcW w:type="dxa" w:w="3216"/>
            <w:shd w:val="clear" w:color="auto" w:fill="0D2137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8</w:t>
            </w:r>
          </w:p>
        </w:tc>
        <w:tc>
          <w:tcPr>
            <w:tcW w:type="dxa" w:w="3216"/>
            <w:shd w:val="clear" w:color="auto" w:fill="0D2137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R200k–R250k</w:t>
            </w:r>
          </w:p>
        </w:tc>
      </w:tr>
      <w:tr>
        <w:tc>
          <w:tcPr>
            <w:tcW w:type="dxa" w:w="3216"/>
            <w:shd w:val="clear" w:color="auto" w:fill="EEF2F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D2137"/>
                <w:sz w:val="17"/>
              </w:rPr>
              <w:t>Implementation stages</w:t>
            </w:r>
          </w:p>
        </w:tc>
        <w:tc>
          <w:tcPr>
            <w:tcW w:type="dxa" w:w="3216"/>
            <w:shd w:val="clear" w:color="auto" w:fill="EEF2F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D2137"/>
                <w:sz w:val="17"/>
              </w:rPr>
              <w:t>Audit fields per tool</w:t>
            </w:r>
          </w:p>
        </w:tc>
        <w:tc>
          <w:tcPr>
            <w:tcW w:type="dxa" w:w="3216"/>
            <w:shd w:val="clear" w:color="auto" w:fill="EEF2F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D2137"/>
                <w:sz w:val="17"/>
              </w:rPr>
              <w:t>Indicative Phase 1 budget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10" w:space="4" w:color="FF6B35"/>
        </w:pBdr>
      </w:pPr>
      <w:r>
        <w:rPr>
          <w:rFonts w:ascii="Calibri" w:hAnsi="Calibri"/>
          <w:b/>
          <w:i w:val="0"/>
          <w:color w:val="0D2137"/>
          <w:sz w:val="30"/>
        </w:rPr>
        <w:t>1. The Five Stages, Mapped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414F"/>
          <w:sz w:val="21"/>
        </w:rPr>
        <w:t>Each stage of the diagram corresponds to a concrete move inside the Department's own model: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33414F"/>
          <w:sz w:val="21"/>
        </w:rPr>
        <w:t>Zone — the governed hosting platform itself: the Department owns and governs the mall; nothing is hosted inside it yet.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33414F"/>
          <w:sz w:val="21"/>
        </w:rPr>
        <w:t>Assets — every existing patient-facing tool takes its place as a shop inside the mall (B-Wise, Self-Help for Youth, MomConnect, partner tools and others confirmed with the TWG), audited in place rather than rebuilt.</w:t>
      </w:r>
    </w:p>
    <w:p>
      <w:pPr>
        <w:pStyle w:val="ListBullet"/>
        <w:spacing w:after="40"/>
        <w:ind w:left="677"/>
      </w:pPr>
      <w:r>
        <w:rPr>
          <w:rFonts w:ascii="Calibri" w:hAnsi="Calibri"/>
          <w:b w:val="0"/>
          <w:i w:val="0"/>
          <w:color w:val="33414F"/>
          <w:sz w:val="21"/>
        </w:rPr>
        <w:t>Ownership, hosting, architecture, data, security/POPIA, integration-readiness, reach and support are each scored per tool — the eight audit fields of Phase 1.</w:t>
      </w:r>
    </w:p>
    <w:p>
      <w:pPr>
        <w:spacing w:before="280" w:after="120"/>
        <w:pBdr>
          <w:bottom w:val="single" w:sz="10" w:space="4" w:color="FF6B35"/>
        </w:pBdr>
      </w:pPr>
      <w:r>
        <w:rPr>
          <w:rFonts w:ascii="Calibri" w:hAnsi="Calibri"/>
          <w:b/>
          <w:i w:val="0"/>
          <w:color w:val="0D2137"/>
          <w:sz w:val="30"/>
        </w:rPr>
        <w:t>2. Where This Sits in the Engagement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33414F"/>
          <w:sz w:val="21"/>
        </w:rPr>
        <w:t>Origin: an introductory scoping meeting (August 2026) between Johan (Ionity Global), Missy (NDOH, HIV TB &amp; MCWH), Dr Ndombe (facilitator) and a Shout-It-Now representative, aligning on the Department's life-course digital health vision.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33414F"/>
          <w:sz w:val="21"/>
        </w:rPr>
        <w:t>Guiding principle carried into every stage of the diagram: audit first — architect second — build third. Phase 1 produces evidence only (Tool Registry, Status-Audit Scorecards, Integration-Readiness Matrix, Findings &amp; Roadmap Report, Executive Briefing — D1 to D5); it does not build, host or connect anything.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48"/>
      </w:tblGrid>
      <w:tr>
        <w:tc>
          <w:tcPr>
            <w:tcW w:type="dxa" w:w="9648"/>
            <w:shd w:val="clear" w:color="auto" w:fill="0D213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The diagram shows the destination the Department is working toward — it is not a description of Phase 1's own deliverables. Stages 3 to 5 (Push AI, Network, Ai-OS) follow from the roadmap Phase 1 produces; they are explicitly out of scope for this phase.</w:t>
            </w:r>
          </w:p>
        </w:tc>
      </w:tr>
    </w:tbl>
    <w:p>
      <w:pPr>
        <w:spacing w:before="280" w:after="120"/>
        <w:pBdr>
          <w:bottom w:val="single" w:sz="10" w:space="4" w:color="FF6B35"/>
        </w:pBdr>
      </w:pPr>
      <w:r>
        <w:rPr>
          <w:rFonts w:ascii="Calibri" w:hAnsi="Calibri"/>
          <w:b/>
          <w:i w:val="0"/>
          <w:color w:val="0D2137"/>
          <w:sz w:val="30"/>
        </w:rPr>
        <w:t>3. Sources &amp; Open Items</w:t>
      </w:r>
    </w:p>
    <w:p>
      <w:pPr>
        <w:spacing w:before="160" w:after="60"/>
      </w:pPr>
      <w:r>
        <w:rPr>
          <w:rFonts w:ascii="Calibri" w:hAnsi="Calibri"/>
          <w:b/>
          <w:i w:val="0"/>
          <w:color w:val="15314F"/>
          <w:sz w:val="23"/>
        </w:rPr>
        <w:t>What this note draws on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33414F"/>
          <w:sz w:val="21"/>
        </w:rPr>
        <w:t>Meeting notes: introductory NDOH / Shout-It-Now / Ionity Global scoping session, August 2026 (“Meeting one”).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33414F"/>
          <w:sz w:val="21"/>
        </w:rPr>
        <w:t>Preliminary Scope of Work — National Scale South Africa, Phase 1: IT-Discovery &amp; Status Audit, ref. ION-NDOH-SOW-2026-001, v1.2.1, 21 August 2026.</w:t>
      </w:r>
    </w:p>
    <w:p>
      <w:pPr>
        <w:spacing w:before="280" w:after="120"/>
        <w:pBdr>
          <w:bottom w:val="single" w:sz="10" w:space="4" w:color="FF6B35"/>
        </w:pBdr>
      </w:pPr>
      <w:r>
        <w:rPr>
          <w:rFonts w:ascii="Calibri" w:hAnsi="Calibri"/>
          <w:b/>
          <w:i w:val="0"/>
          <w:color w:val="0D2137"/>
          <w:sz w:val="30"/>
        </w:rPr>
        <w:t>Action Items &amp; Next Steps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FF6B35"/>
          <w:sz w:val="21"/>
        </w:rPr>
        <w:t xml:space="preserve">▢  </w:t>
      </w:r>
      <w:r>
        <w:rPr>
          <w:rFonts w:ascii="Calibri" w:hAnsi="Calibri"/>
          <w:b w:val="0"/>
          <w:i w:val="0"/>
          <w:color w:val="33414F"/>
          <w:sz w:val="21"/>
        </w:rPr>
        <w:t>Confirm this diagram and the mapping above with the NDOH programme lead (Missy) before it is used in any external-facing material — owner: Johan.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FF6B35"/>
          <w:sz w:val="21"/>
        </w:rPr>
        <w:t xml:space="preserve">▢  </w:t>
      </w:r>
      <w:r>
        <w:rPr>
          <w:rFonts w:ascii="Calibri" w:hAnsi="Calibri"/>
          <w:b w:val="0"/>
          <w:i w:val="0"/>
          <w:color w:val="33414F"/>
          <w:sz w:val="21"/>
        </w:rPr>
        <w:t>Introduction to the Technical Working Group; begin Week 1 — Discover, per the Phase 1 timeline — owner: Johan / NDOH TWG.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FF6B35"/>
          <w:sz w:val="21"/>
        </w:rPr>
        <w:t xml:space="preserve">▢  </w:t>
      </w:r>
      <w:r>
        <w:rPr>
          <w:rFonts w:ascii="Calibri" w:hAnsi="Calibri"/>
          <w:b w:val="0"/>
          <w:i w:val="0"/>
          <w:color w:val="33414F"/>
          <w:sz w:val="21"/>
        </w:rPr>
        <w:t>Open item: a second meeting-notes file supplied alongside this request was empty on upload — flagged for Johan to re-export and re-send if there is content to fold in.</w:t>
      </w:r>
    </w:p>
    <w:p>
      <w:pPr>
        <w:spacing w:after="120" w:before="20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48"/>
      </w:tblGrid>
      <w:tr>
        <w:tc>
          <w:tcPr>
            <w:tcW w:type="dxa" w:w="9648"/>
            <w:shd w:val="clear" w:color="auto" w:fill="0D213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  Prepared by Ionity Global (Pty) Ltd   -   ai@ionity.today   -   www.ionity.today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enter"/>
        <w:tab w:pos="9360" w:val="right"/>
      </w:tabs>
    </w:pPr>
    <w:r>
      <w:rPr>
        <w:rFonts w:ascii="Calibri" w:hAnsi="Calibri"/>
        <w:b/>
        <w:i w:val="0"/>
        <w:color w:val="FF6B35"/>
        <w:sz w:val="16"/>
      </w:rPr>
      <w:t>CONFIDENTIAL</w:t>
    </w:r>
    <w:r>
      <w:rPr>
        <w:rFonts w:ascii="Calibri" w:hAnsi="Calibri"/>
        <w:b w:val="0"/>
        <w:i w:val="0"/>
        <w:color w:val="5A6675"/>
        <w:sz w:val="16"/>
      </w:rPr>
      <w:tab/>
      <w:t>www.ionity.today  |  ai@ionity.today</w:t>
      <w:tab/>
      <w:t xml:space="preserve">Page </w:t>
    </w:r>
    <w:r>
      <w:fldChar w:fldCharType="begin"/>
    </w:r>
    <w:r>
      <w:instrText xml:space="preserve">PAGE</w:instrText>
    </w:r>
    <w:r>
      <w:fldChar w:fldCharType="end"/>
    </w:r>
    <w:r>
      <w:rPr>
        <w:rFonts w:ascii="Calibri" w:hAnsi="Calibri"/>
        <w:b w:val="0"/>
        <w:i w:val="0"/>
        <w:color w:val="5A6675"/>
        <w:sz w:val="16"/>
      </w:rPr>
      <w:t xml:space="preserve"> of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pict>
        <v:shape id="wm" type="#_x0000_t136" style="position:absolute;margin-left:0;margin-top:0;width:480pt;height:160pt;rotation:315;z-index:-251654144;mso-position-horizontal:center;mso-position-horizontal-relative:margin;mso-position-vertical:center;mso-position-vertical-relative:margin" fillcolor="#DFE6EE" stroked="f">
          <v:fill opacity=".5"/>
          <v:textpath style="font-family:&quot;Calibri&quot;;font-weight:bold" string="IONITY"/>
        </v:shape>
      </w:pict>
    </w:r>
  </w:p>
  <w:p>
    <w:pPr>
      <w:spacing w:after="0"/>
      <w:jc w:val="right"/>
    </w:pPr>
    <w:r>
      <w:rPr>
        <w:rFonts w:ascii="Calibri" w:hAnsi="Calibri"/>
        <w:b w:val="0"/>
        <w:i w:val="0"/>
        <w:color w:val="5A6675"/>
        <w:sz w:val="16"/>
      </w:rPr>
      <w:t>IONITY GLOBAL (Pty) Ltd   |   ION-NDOH-BRIEF-2026-001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4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