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53515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本因子测试接口工具（代码模板：FactorTester_Templay.py）供研究员进行基础因子的测试。因子的测试程序配置在meta1上，不会占用本地资源。本接口工具读取程序员的本地因子文件，并将Polars dataframe格式的因子通过socket发送至meta1，待服务器测试完毕后，将测试报告(svg格式）、结果指标(xlsx格式）和因子收益时间序列(parquet格式）发送返回并存储至本地。</w:t>
      </w:r>
    </w:p>
    <w:p w14:paraId="3EF8E5FB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E146E60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具体代码参考代码模板和样例代码（FactorTester_Sample.py）。研究员只需要补充代码段以读取自己的本地因子，并将其格式转化为服务器端程序要求的格式，包含：</w:t>
      </w:r>
    </w:p>
    <w:p w14:paraId="36CB56F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日期列（str，YYYYMMDD格式），名称为TRADE_DT或date</w:t>
      </w:r>
    </w:p>
    <w:p w14:paraId="666E721F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股票代码列（str，如000001.SZ），名称为WINDCODE或header</w:t>
      </w:r>
    </w:p>
    <w:p w14:paraId="6D48557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因子列（可以多列），列名为因子名，注意t日的因子值应当在t日收盘可交易（一般为t-1日盘后生成）</w:t>
      </w:r>
    </w:p>
    <w:p w14:paraId="71B0597A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</w:p>
    <w:p w14:paraId="7E935E1F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主要测试参数：</w:t>
      </w:r>
    </w:p>
    <w:p w14:paraId="06477F2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start_date</w:t>
      </w:r>
      <w:r>
        <w:rPr>
          <w:rFonts w:hint="eastAsia"/>
          <w:lang w:val="en-US" w:eastAsia="zh-CN"/>
        </w:rPr>
        <w:t>，测试起始时间</w:t>
      </w:r>
    </w:p>
    <w:p w14:paraId="2D73780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end_date</w:t>
      </w:r>
      <w:r>
        <w:rPr>
          <w:rFonts w:hint="eastAsia"/>
          <w:lang w:val="en-US" w:eastAsia="zh-CN"/>
        </w:rPr>
        <w:t>，测试结束时间</w:t>
      </w:r>
    </w:p>
    <w:p w14:paraId="27E0D762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out_of_sample_start</w:t>
      </w:r>
      <w:r>
        <w:rPr>
          <w:rFonts w:hint="eastAsia"/>
          <w:lang w:val="en-US" w:eastAsia="zh-CN"/>
        </w:rPr>
        <w:t>，样本外起始时间，主要用于对因子样本外跟踪的场景，如果设定此参数且之后的SINGLE_INTERVAL参数为False，部分返回图表（如因子多头收益、因子多空收益、因子分档收益等）会根据[start_date, out_of_sample_start]和[out_of_sample_start, end_date]这两个时间区间进行分别测试和展示以供对比</w:t>
      </w:r>
    </w:p>
    <w:p w14:paraId="52E363C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EXPORT_SVG</w:t>
      </w:r>
      <w:r>
        <w:rPr>
          <w:rFonts w:hint="eastAsia"/>
          <w:lang w:val="en-US" w:eastAsia="zh-CN"/>
        </w:rPr>
        <w:t>，如为True，将返回svg格式的包含多张图的报告存储到本地</w:t>
      </w:r>
    </w:p>
    <w:p w14:paraId="4FA1D1A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EXPORT_EXCEL</w:t>
      </w:r>
      <w:r>
        <w:rPr>
          <w:rFonts w:hint="eastAsia"/>
          <w:lang w:val="en-US" w:eastAsia="zh-CN"/>
        </w:rPr>
        <w:t>，如为True，将返回xlsx格式的表格文件，在多个sheet中分别包含因子的各项指标（如多空年化收益和sharpe比率、因子IC、因子分档收益，等等）</w:t>
      </w:r>
    </w:p>
    <w:p w14:paraId="15441A3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EXPORT_PARQUET</w:t>
      </w:r>
      <w:r>
        <w:rPr>
          <w:rFonts w:hint="eastAsia"/>
          <w:lang w:val="en-US" w:eastAsia="zh-CN"/>
        </w:rPr>
        <w:t>，如为True，将返回因子的多空收益、多头收益及powerRank组合收益的时间序列，以parquet文件的格式存储到本地</w:t>
      </w:r>
    </w:p>
    <w:p w14:paraId="0AB924F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SINGLE_INTERVAL</w:t>
      </w:r>
      <w:r>
        <w:rPr>
          <w:rFonts w:hint="eastAsia"/>
          <w:lang w:val="en-US" w:eastAsia="zh-CN"/>
        </w:rPr>
        <w:t>，如为True，按照[start_date, end_date]进行全样本测试，否则根据[start_date, out_of_sample_start]和[out_of_sample_start, end_date]这两个时间区间进行分别测试和展示以供对比</w:t>
      </w:r>
    </w:p>
    <w:p w14:paraId="7D7357B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RET_TYPE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ret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（原始收益）或</w:t>
      </w:r>
      <w:r>
        <w:rPr>
          <w:rFonts w:hint="default" w:eastAsiaTheme="minorEastAsia"/>
          <w:lang w:val="en-US" w:eastAsia="zh-CN"/>
        </w:rPr>
        <w:t>'pureret'</w:t>
      </w:r>
      <w:r>
        <w:rPr>
          <w:rFonts w:hint="eastAsia"/>
          <w:lang w:val="en-US" w:eastAsia="zh-CN"/>
        </w:rPr>
        <w:t>（纯净收益），之后的版本还会再增加基于开盘价、vwap的原始收益和纯净收益</w:t>
      </w:r>
    </w:p>
    <w:p w14:paraId="274780D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TEST_BASIC_FEATURES</w:t>
      </w:r>
      <w:r>
        <w:rPr>
          <w:rFonts w:hint="eastAsia"/>
          <w:lang w:val="en-US" w:eastAsia="zh-CN"/>
        </w:rPr>
        <w:t>，如为True，测试结果将包含因子的基础指标如：</w:t>
      </w:r>
    </w:p>
    <w:p w14:paraId="6E1154E7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因子覆盖度</w:t>
      </w:r>
    </w:p>
    <w:p w14:paraId="4B64A555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516380" cy="14744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0445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因子分布</w:t>
      </w:r>
    </w:p>
    <w:p w14:paraId="509BC59D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614805" cy="1584325"/>
            <wp:effectExtent l="0" t="0" r="1079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2C1E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41E7147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因子自相关</w:t>
      </w:r>
    </w:p>
    <w:p w14:paraId="76E99FC2">
      <w:pPr>
        <w:numPr>
          <w:numId w:val="0"/>
        </w:numPr>
        <w:jc w:val="center"/>
      </w:pPr>
      <w:r>
        <w:drawing>
          <wp:inline distT="0" distB="0" distL="114300" distR="114300">
            <wp:extent cx="1906270" cy="176466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A485">
      <w:pPr>
        <w:numPr>
          <w:numId w:val="0"/>
        </w:numPr>
        <w:jc w:val="center"/>
        <w:rPr>
          <w:rFonts w:hint="default"/>
          <w:lang w:val="en-US" w:eastAsia="zh-CN"/>
        </w:rPr>
      </w:pPr>
    </w:p>
    <w:p w14:paraId="1FF47E1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TEST_BASIC_RETURN</w:t>
      </w:r>
      <w:r>
        <w:rPr>
          <w:rFonts w:hint="eastAsia"/>
          <w:lang w:val="en-US" w:eastAsia="zh-CN"/>
        </w:rPr>
        <w:t>，如为True，测试结果将包含因子收益相关指标如：</w:t>
      </w:r>
    </w:p>
    <w:p w14:paraId="79DEB895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因子IC和IC decay</w:t>
      </w:r>
    </w:p>
    <w:p w14:paraId="19C15190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959610" cy="190373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21B5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因子回归收益率</w:t>
      </w:r>
    </w:p>
    <w:p w14:paraId="7509BF31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04060" cy="1934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4D8F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因子多头（减基准）和多空收益率</w:t>
      </w:r>
    </w:p>
    <w:p w14:paraId="68AA2480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104640" cy="1961515"/>
            <wp:effectExtent l="0" t="0" r="1016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C762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因子powerRank组合多头（减基准）收益率</w:t>
      </w:r>
    </w:p>
    <w:p w14:paraId="44EC8651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969770" cy="1915795"/>
            <wp:effectExtent l="0" t="0" r="1143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1992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因子分档收益</w:t>
      </w:r>
    </w:p>
    <w:p w14:paraId="13516E09">
      <w:pPr>
        <w:numPr>
          <w:numId w:val="0"/>
        </w:numPr>
        <w:jc w:val="center"/>
      </w:pPr>
      <w:r>
        <w:drawing>
          <wp:inline distT="0" distB="0" distL="114300" distR="114300">
            <wp:extent cx="1913255" cy="19132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7C8C0">
      <w:pPr>
        <w:numPr>
          <w:numId w:val="0"/>
        </w:numPr>
        <w:jc w:val="center"/>
        <w:rPr>
          <w:rFonts w:hint="default"/>
          <w:lang w:val="en-US" w:eastAsia="zh-CN"/>
        </w:rPr>
      </w:pPr>
    </w:p>
    <w:p w14:paraId="2184588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TEST_STYLE_FEATURES</w:t>
      </w:r>
      <w:r>
        <w:rPr>
          <w:rFonts w:hint="eastAsia"/>
          <w:lang w:val="en-US" w:eastAsia="zh-CN"/>
        </w:rPr>
        <w:t>，如为True，测试结果将包含因子风格相关指标如：</w:t>
      </w:r>
    </w:p>
    <w:p w14:paraId="076B64DB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因子与各风格的相关性（截面相关性、收益相关性，多头收益相关性）</w:t>
      </w:r>
    </w:p>
    <w:p w14:paraId="6F422BA3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43430" cy="197421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F8E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因子分档的风格暴露（市值、非线性市值、流动性、低波）</w:t>
      </w:r>
    </w:p>
    <w:p w14:paraId="77A0BF15">
      <w:pPr>
        <w:numPr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050415" cy="1971675"/>
            <wp:effectExtent l="0" t="0" r="698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41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A27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TOPK_K</w:t>
      </w:r>
      <w:r>
        <w:rPr>
          <w:rFonts w:hint="eastAsia"/>
          <w:lang w:val="en-US" w:eastAsia="zh-CN"/>
        </w:rPr>
        <w:t>，计算powerRank组合时每日选择头部的股票比例，默认为1.0，不需要修改。如果要计算多头半扇powerRank组合可以设置为0.5。</w:t>
      </w:r>
    </w:p>
    <w:p w14:paraId="05F3F53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TOPK_POWER</w:t>
      </w:r>
      <w:r>
        <w:rPr>
          <w:rFonts w:hint="eastAsia"/>
          <w:lang w:val="en-US" w:eastAsia="zh-CN"/>
        </w:rPr>
        <w:t>，计算powerRank组合时采用的power参数，默认为2.0（平方），不需要修改。</w:t>
      </w:r>
    </w:p>
    <w:p w14:paraId="55398130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report_root</w:t>
      </w:r>
      <w:r>
        <w:rPr>
          <w:rFonts w:hint="eastAsia"/>
          <w:lang w:val="en-US" w:eastAsia="zh-CN"/>
        </w:rPr>
        <w:t>，用于存储测试报告的路径</w:t>
      </w:r>
    </w:p>
    <w:p w14:paraId="41488FC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1EA8898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基于不同测试参数的样例结果见文件夹local_report下的子文件夹，包含Test_basic/Test_return/Test_style/Test_full和Compare_basic/Compare_return/Compare_style/Compare_full</w:t>
      </w:r>
    </w:p>
    <w:p w14:paraId="121DF4C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Test和Compare分别代表</w:t>
      </w:r>
      <w:r>
        <w:rPr>
          <w:rFonts w:hint="default" w:eastAsiaTheme="minorEastAsia"/>
          <w:lang w:val="en-US" w:eastAsia="zh-CN"/>
        </w:rPr>
        <w:t>SINGLE_INTERVAL</w:t>
      </w:r>
      <w:r>
        <w:rPr>
          <w:rFonts w:hint="eastAsia"/>
          <w:lang w:val="en-US" w:eastAsia="zh-CN"/>
        </w:rPr>
        <w:t>参数为True（全样本统一测试）和False（样本内和样本外分两段测试对比）</w:t>
      </w:r>
    </w:p>
    <w:p w14:paraId="376378A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basic/return/style表示仅设置TEST_BASIC_FEATURES/TEST_BASIC_RETURN/TEST_STYLE_FEATURES为True，full表示设置三个参数均为True，返回最完备的测试结果</w:t>
      </w:r>
      <w:bookmarkStart w:id="0" w:name="_GoBack"/>
      <w:bookmarkEnd w:id="0"/>
    </w:p>
    <w:p w14:paraId="485B7E27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BA1586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64B6D"/>
    <w:multiLevelType w:val="multilevel"/>
    <w:tmpl w:val="DE764B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A5F0D"/>
    <w:rsid w:val="1CFB6C42"/>
    <w:rsid w:val="58FC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2026-03-12T05:20:55Z</dcterms:created>
  <dc:creator>yangxiaozhou</dc:creator>
  <cp:lastModifiedBy>yangxiaozhou</cp:lastModifiedBy>
  <dcterms:modified xsi:type="dcterms:W3CDTF">2026-03-12T06:51:06Z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85DA5F5B195B41109FB787844CDEBEC0_12</vt:lpwstr>
  </property>
</Properties>
</file>