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4135"/>
        <w:gridCol w:w="5215"/>
      </w:tblGrid>
      <w:tr w:rsidR="00385509" w:rsidTr="001402E2">
        <w:tc>
          <w:tcPr>
            <w:tcW w:w="4135" w:type="dxa"/>
          </w:tcPr>
          <w:p w:rsidR="001402E2" w:rsidRPr="006A75B2" w:rsidRDefault="001402E2" w:rsidP="001402E2">
            <w:pPr>
              <w:rPr>
                <w:rFonts w:cstheme="minorHAnsi"/>
                <w:b/>
              </w:rPr>
            </w:pPr>
            <w:bookmarkStart w:id="0" w:name="_GoBack"/>
            <w:bookmarkEnd w:id="0"/>
            <w:r w:rsidRPr="006A75B2">
              <w:rPr>
                <w:rFonts w:cstheme="minorHAnsi"/>
                <w:b/>
              </w:rPr>
              <w:t>Mean Absolute Error (MAE)</w:t>
            </w:r>
          </w:p>
          <w:p w:rsidR="001402E2" w:rsidRPr="001402E2" w:rsidRDefault="001402E2" w:rsidP="001402E2">
            <w:pPr>
              <w:spacing w:before="100" w:beforeAutospacing="1" w:after="100" w:afterAutospacing="1"/>
              <w:rPr>
                <w:rFonts w:ascii="Times New Roman" w:eastAsia="Times New Roman" w:hAnsi="Times New Roman" w:cs="Times New Roman"/>
                <w:szCs w:val="24"/>
              </w:rPr>
            </w:pPr>
            <w:r w:rsidRPr="001402E2">
              <w:rPr>
                <w:rFonts w:ascii="Times New Roman" w:eastAsia="Times New Roman" w:hAnsi="Times New Roman" w:cs="Times New Roman"/>
                <w:szCs w:val="24"/>
              </w:rPr>
              <w:t>The average of the absolute differences between the predicted and actual values.</w:t>
            </w:r>
          </w:p>
          <w:p w:rsidR="00385509" w:rsidRPr="006A75B2" w:rsidRDefault="00385509" w:rsidP="001402E2">
            <w:pPr>
              <w:rPr>
                <w:rFonts w:cstheme="minorHAnsi"/>
              </w:rPr>
            </w:pPr>
          </w:p>
        </w:tc>
        <w:tc>
          <w:tcPr>
            <w:tcW w:w="5215" w:type="dxa"/>
          </w:tcPr>
          <w:p w:rsidR="001402E2" w:rsidRPr="006A75B2" w:rsidRDefault="001402E2" w:rsidP="001402E2">
            <w:pPr>
              <w:rPr>
                <w:rFonts w:cstheme="minorHAnsi"/>
              </w:rPr>
            </w:pPr>
            <w:r w:rsidRPr="006A75B2">
              <w:rPr>
                <w:rFonts w:cstheme="minorHAnsi"/>
              </w:rPr>
              <w:t xml:space="preserve">                           </w:t>
            </w:r>
            <w:r w:rsidRPr="006A75B2">
              <w:rPr>
                <w:rFonts w:cstheme="minorHAnsi"/>
              </w:rPr>
              <w:drawing>
                <wp:inline distT="0" distB="0" distL="0" distR="0" wp14:anchorId="4FE0F188" wp14:editId="039ECA46">
                  <wp:extent cx="1269242" cy="48143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00594" cy="493329"/>
                          </a:xfrm>
                          <a:prstGeom prst="rect">
                            <a:avLst/>
                          </a:prstGeom>
                        </pic:spPr>
                      </pic:pic>
                    </a:graphicData>
                  </a:graphic>
                </wp:inline>
              </w:drawing>
            </w:r>
          </w:p>
          <w:p w:rsidR="001402E2" w:rsidRPr="006A75B2" w:rsidRDefault="001402E2" w:rsidP="001402E2">
            <w:pPr>
              <w:rPr>
                <w:rFonts w:cstheme="minorHAnsi"/>
              </w:rPr>
            </w:pPr>
            <w:r w:rsidRPr="006A75B2">
              <w:rPr>
                <w:rFonts w:ascii="Times New Roman" w:eastAsia="Times New Roman" w:hAnsi="Times New Roman" w:cs="Times New Roman"/>
                <w:szCs w:val="24"/>
              </w:rPr>
              <w:t>MAE gives a clear, intuitive measure of the average magnitude of errors, but it does not penalize larger errors more than smaller ones.</w:t>
            </w:r>
          </w:p>
          <w:p w:rsidR="001402E2" w:rsidRPr="006A75B2" w:rsidRDefault="001402E2" w:rsidP="001402E2">
            <w:pPr>
              <w:spacing w:before="100" w:beforeAutospacing="1" w:after="100" w:afterAutospacing="1"/>
              <w:rPr>
                <w:rFonts w:ascii="Times New Roman" w:eastAsia="Times New Roman" w:hAnsi="Times New Roman" w:cs="Times New Roman"/>
                <w:szCs w:val="24"/>
              </w:rPr>
            </w:pPr>
            <w:r w:rsidRPr="006A75B2">
              <w:rPr>
                <w:rFonts w:ascii="Times New Roman" w:eastAsia="Times New Roman" w:hAnsi="Times New Roman" w:cs="Times New Roman"/>
                <w:b/>
                <w:bCs/>
                <w:szCs w:val="24"/>
              </w:rPr>
              <w:t>Use Case</w:t>
            </w:r>
            <w:r w:rsidRPr="006A75B2">
              <w:rPr>
                <w:rFonts w:ascii="Times New Roman" w:eastAsia="Times New Roman" w:hAnsi="Times New Roman" w:cs="Times New Roman"/>
                <w:szCs w:val="24"/>
              </w:rPr>
              <w:t>: When you want a model that treats all errors equally.</w:t>
            </w:r>
          </w:p>
        </w:tc>
      </w:tr>
      <w:tr w:rsidR="00385509" w:rsidTr="001402E2">
        <w:tc>
          <w:tcPr>
            <w:tcW w:w="4135" w:type="dxa"/>
          </w:tcPr>
          <w:p w:rsidR="001402E2" w:rsidRPr="001402E2" w:rsidRDefault="001402E2" w:rsidP="001402E2">
            <w:pPr>
              <w:spacing w:before="100" w:beforeAutospacing="1" w:after="100" w:afterAutospacing="1"/>
              <w:outlineLvl w:val="2"/>
              <w:rPr>
                <w:rFonts w:ascii="Times New Roman" w:eastAsia="Times New Roman" w:hAnsi="Times New Roman" w:cs="Times New Roman"/>
                <w:b/>
                <w:bCs/>
                <w:szCs w:val="27"/>
              </w:rPr>
            </w:pPr>
            <w:r w:rsidRPr="006A75B2">
              <w:rPr>
                <w:rFonts w:ascii="Times New Roman" w:eastAsia="Times New Roman" w:hAnsi="Times New Roman" w:cs="Times New Roman"/>
                <w:b/>
                <w:bCs/>
                <w:szCs w:val="27"/>
              </w:rPr>
              <w:t>Mean Squared Error (MSE)</w:t>
            </w:r>
          </w:p>
          <w:p w:rsidR="001402E2" w:rsidRPr="001402E2" w:rsidRDefault="001402E2" w:rsidP="001402E2">
            <w:pPr>
              <w:spacing w:before="100" w:beforeAutospacing="1" w:after="100" w:afterAutospacing="1"/>
              <w:rPr>
                <w:rFonts w:ascii="Times New Roman" w:eastAsia="Times New Roman" w:hAnsi="Times New Roman" w:cs="Times New Roman"/>
                <w:szCs w:val="24"/>
              </w:rPr>
            </w:pPr>
            <w:r w:rsidRPr="001402E2">
              <w:rPr>
                <w:rFonts w:ascii="Times New Roman" w:eastAsia="Times New Roman" w:hAnsi="Times New Roman" w:cs="Times New Roman"/>
                <w:szCs w:val="24"/>
              </w:rPr>
              <w:t>The average of the squared differences between the predicted and actual values.</w:t>
            </w:r>
          </w:p>
          <w:p w:rsidR="00385509" w:rsidRPr="006A75B2" w:rsidRDefault="00385509" w:rsidP="00114C6C">
            <w:pPr>
              <w:rPr>
                <w:rFonts w:cstheme="minorHAnsi"/>
                <w:b/>
              </w:rPr>
            </w:pPr>
          </w:p>
        </w:tc>
        <w:tc>
          <w:tcPr>
            <w:tcW w:w="5215" w:type="dxa"/>
          </w:tcPr>
          <w:p w:rsidR="00385509" w:rsidRPr="006A75B2" w:rsidRDefault="001402E2" w:rsidP="00114C6C">
            <w:pPr>
              <w:rPr>
                <w:rFonts w:cstheme="minorHAnsi"/>
              </w:rPr>
            </w:pPr>
            <w:r w:rsidRPr="006A75B2">
              <w:rPr>
                <w:rFonts w:cstheme="minorHAnsi"/>
              </w:rPr>
              <w:t xml:space="preserve">                           </w:t>
            </w:r>
            <w:r w:rsidRPr="006A75B2">
              <w:rPr>
                <w:rFonts w:cstheme="minorHAnsi"/>
              </w:rPr>
              <w:drawing>
                <wp:inline distT="0" distB="0" distL="0" distR="0" wp14:anchorId="71402865" wp14:editId="247C1396">
                  <wp:extent cx="1180618" cy="4572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13126" cy="469789"/>
                          </a:xfrm>
                          <a:prstGeom prst="rect">
                            <a:avLst/>
                          </a:prstGeom>
                        </pic:spPr>
                      </pic:pic>
                    </a:graphicData>
                  </a:graphic>
                </wp:inline>
              </w:drawing>
            </w:r>
          </w:p>
          <w:p w:rsidR="001402E2" w:rsidRPr="006A75B2" w:rsidRDefault="001402E2" w:rsidP="00114C6C">
            <w:r w:rsidRPr="006A75B2">
              <w:t>MSE penalizes larger errors more than smaller ones due to the squaring of differences. It's sensitive to outliers.</w:t>
            </w:r>
          </w:p>
          <w:p w:rsidR="001402E2" w:rsidRPr="006A75B2" w:rsidRDefault="001402E2" w:rsidP="00114C6C"/>
          <w:p w:rsidR="001402E2" w:rsidRPr="006A75B2" w:rsidRDefault="001402E2" w:rsidP="00114C6C">
            <w:pPr>
              <w:rPr>
                <w:rFonts w:cstheme="minorHAnsi"/>
              </w:rPr>
            </w:pPr>
            <w:r w:rsidRPr="006A75B2">
              <w:rPr>
                <w:rStyle w:val="Strong"/>
              </w:rPr>
              <w:t>Use Case</w:t>
            </w:r>
            <w:r w:rsidRPr="006A75B2">
              <w:t>: When larger errors need to be penalized more heavily, and the dataset doesn't contain too many outliers.</w:t>
            </w:r>
          </w:p>
        </w:tc>
      </w:tr>
      <w:tr w:rsidR="00385509" w:rsidTr="001402E2">
        <w:tc>
          <w:tcPr>
            <w:tcW w:w="4135" w:type="dxa"/>
          </w:tcPr>
          <w:p w:rsidR="006A75B2" w:rsidRPr="006A75B2" w:rsidRDefault="006A75B2" w:rsidP="006A75B2">
            <w:pPr>
              <w:spacing w:before="100" w:beforeAutospacing="1" w:after="100" w:afterAutospacing="1"/>
              <w:outlineLvl w:val="2"/>
              <w:rPr>
                <w:rFonts w:eastAsia="Times New Roman" w:cstheme="minorHAnsi"/>
                <w:b/>
                <w:bCs/>
              </w:rPr>
            </w:pPr>
            <w:r w:rsidRPr="006A75B2">
              <w:rPr>
                <w:rFonts w:eastAsia="Times New Roman" w:cstheme="minorHAnsi"/>
                <w:b/>
                <w:bCs/>
              </w:rPr>
              <w:t>Root Mean Squared Error (RMSE)</w:t>
            </w:r>
          </w:p>
          <w:p w:rsidR="006A75B2" w:rsidRPr="006A75B2" w:rsidRDefault="006A75B2" w:rsidP="006A75B2">
            <w:pPr>
              <w:spacing w:before="100" w:beforeAutospacing="1" w:after="100" w:afterAutospacing="1"/>
              <w:rPr>
                <w:rFonts w:eastAsia="Times New Roman" w:cstheme="minorHAnsi"/>
              </w:rPr>
            </w:pPr>
            <w:r w:rsidRPr="006A75B2">
              <w:rPr>
                <w:rFonts w:eastAsia="Times New Roman" w:cstheme="minorHAnsi"/>
              </w:rPr>
              <w:t>The square root of the Mean Squared Error, providing a metric in the same units as the target variable.</w:t>
            </w:r>
          </w:p>
          <w:p w:rsidR="00385509" w:rsidRPr="008E54F2" w:rsidRDefault="00385509" w:rsidP="00114C6C">
            <w:pPr>
              <w:rPr>
                <w:rFonts w:cstheme="minorHAnsi"/>
              </w:rPr>
            </w:pPr>
          </w:p>
        </w:tc>
        <w:tc>
          <w:tcPr>
            <w:tcW w:w="5215" w:type="dxa"/>
          </w:tcPr>
          <w:p w:rsidR="006A75B2" w:rsidRDefault="006A75B2" w:rsidP="006A75B2">
            <w:pPr>
              <w:rPr>
                <w:rFonts w:cstheme="minorHAnsi"/>
              </w:rPr>
            </w:pPr>
            <w:r>
              <w:rPr>
                <w:rFonts w:cstheme="minorHAnsi"/>
              </w:rPr>
              <w:t xml:space="preserve">                                  </w:t>
            </w:r>
            <w:r w:rsidRPr="006A75B2">
              <w:rPr>
                <w:rFonts w:cstheme="minorHAnsi"/>
              </w:rPr>
              <w:drawing>
                <wp:inline distT="0" distB="0" distL="0" distR="0" wp14:anchorId="1F652EA1" wp14:editId="5B1EFD14">
                  <wp:extent cx="911070" cy="23201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31825" cy="237297"/>
                          </a:xfrm>
                          <a:prstGeom prst="rect">
                            <a:avLst/>
                          </a:prstGeom>
                        </pic:spPr>
                      </pic:pic>
                    </a:graphicData>
                  </a:graphic>
                </wp:inline>
              </w:drawing>
            </w:r>
          </w:p>
          <w:p w:rsidR="006A75B2" w:rsidRPr="006A75B2" w:rsidRDefault="006A75B2" w:rsidP="006A75B2">
            <w:pPr>
              <w:rPr>
                <w:rFonts w:cstheme="minorHAnsi"/>
              </w:rPr>
            </w:pPr>
            <w:r w:rsidRPr="006A75B2">
              <w:rPr>
                <w:rFonts w:eastAsia="Times New Roman" w:cstheme="minorHAnsi"/>
                <w:szCs w:val="24"/>
              </w:rPr>
              <w:t>RMSE provides a more interpretable error measure because it is in the same unit as the original data. Like MSE, it penalizes large errors.</w:t>
            </w:r>
          </w:p>
          <w:p w:rsidR="006A75B2" w:rsidRPr="006A75B2" w:rsidRDefault="006A75B2" w:rsidP="006A75B2">
            <w:pPr>
              <w:spacing w:before="100" w:beforeAutospacing="1" w:after="100" w:afterAutospacing="1"/>
              <w:rPr>
                <w:rFonts w:eastAsia="Times New Roman" w:cstheme="minorHAnsi"/>
                <w:szCs w:val="24"/>
              </w:rPr>
            </w:pPr>
            <w:r w:rsidRPr="006A75B2">
              <w:rPr>
                <w:rFonts w:eastAsia="Times New Roman" w:cstheme="minorHAnsi"/>
                <w:b/>
                <w:bCs/>
                <w:szCs w:val="24"/>
              </w:rPr>
              <w:t>Use Case</w:t>
            </w:r>
            <w:r w:rsidRPr="006A75B2">
              <w:rPr>
                <w:rFonts w:eastAsia="Times New Roman" w:cstheme="minorHAnsi"/>
                <w:szCs w:val="24"/>
              </w:rPr>
              <w:t>: When the model should focus on large errors and a more interpretable metric is needed.</w:t>
            </w:r>
          </w:p>
        </w:tc>
      </w:tr>
      <w:tr w:rsidR="00385509" w:rsidTr="001402E2">
        <w:tc>
          <w:tcPr>
            <w:tcW w:w="4135" w:type="dxa"/>
          </w:tcPr>
          <w:p w:rsidR="006A75B2" w:rsidRPr="006A75B2" w:rsidRDefault="00573C59" w:rsidP="006A75B2">
            <w:pPr>
              <w:spacing w:before="100" w:beforeAutospacing="1" w:after="100" w:afterAutospacing="1"/>
              <w:outlineLvl w:val="2"/>
              <w:rPr>
                <w:rFonts w:eastAsia="Times New Roman" w:cstheme="minorHAnsi"/>
                <w:b/>
                <w:bCs/>
              </w:rPr>
            </w:pPr>
            <w:r>
              <w:rPr>
                <w:rFonts w:eastAsia="Times New Roman" w:cstheme="minorHAnsi"/>
                <w:b/>
                <w:bCs/>
              </w:rPr>
              <w:t>R-squared (R²)</w:t>
            </w:r>
            <w:r w:rsidR="006A75B2">
              <w:rPr>
                <w:rFonts w:eastAsia="Times New Roman" w:cstheme="minorHAnsi"/>
                <w:b/>
                <w:bCs/>
              </w:rPr>
              <w:t xml:space="preserve"> - </w:t>
            </w:r>
            <w:r w:rsidR="006A75B2" w:rsidRPr="006A75B2">
              <w:rPr>
                <w:rFonts w:eastAsia="Times New Roman" w:cstheme="minorHAnsi"/>
                <w:b/>
                <w:bCs/>
              </w:rPr>
              <w:t>Coefficient of Determination</w:t>
            </w:r>
          </w:p>
          <w:p w:rsidR="006A75B2" w:rsidRPr="006A75B2" w:rsidRDefault="006A75B2" w:rsidP="006A75B2">
            <w:pPr>
              <w:spacing w:before="100" w:beforeAutospacing="1" w:after="100" w:afterAutospacing="1"/>
              <w:rPr>
                <w:rFonts w:eastAsia="Times New Roman" w:cstheme="minorHAnsi"/>
              </w:rPr>
            </w:pPr>
            <w:r w:rsidRPr="006A75B2">
              <w:rPr>
                <w:rFonts w:eastAsia="Times New Roman" w:cstheme="minorHAnsi"/>
              </w:rPr>
              <w:t>A measure of how well the model’s predictions explain the variance in the target variable.</w:t>
            </w:r>
          </w:p>
          <w:p w:rsidR="00385509" w:rsidRPr="008E54F2" w:rsidRDefault="00385509" w:rsidP="00114C6C">
            <w:pPr>
              <w:rPr>
                <w:rFonts w:cstheme="minorHAnsi"/>
              </w:rPr>
            </w:pPr>
          </w:p>
        </w:tc>
        <w:tc>
          <w:tcPr>
            <w:tcW w:w="5215" w:type="dxa"/>
          </w:tcPr>
          <w:p w:rsidR="00385509" w:rsidRPr="006A75B2" w:rsidRDefault="006A75B2" w:rsidP="00114C6C">
            <w:pPr>
              <w:rPr>
                <w:rFonts w:cstheme="minorHAnsi"/>
              </w:rPr>
            </w:pPr>
            <w:r w:rsidRPr="006A75B2">
              <w:rPr>
                <w:rFonts w:cstheme="minorHAnsi"/>
              </w:rPr>
              <w:t xml:space="preserve">                          </w:t>
            </w:r>
            <w:r w:rsidRPr="006A75B2">
              <w:rPr>
                <w:rFonts w:cstheme="minorHAnsi"/>
              </w:rPr>
              <w:drawing>
                <wp:inline distT="0" distB="0" distL="0" distR="0" wp14:anchorId="57450C60" wp14:editId="548C6CA6">
                  <wp:extent cx="1207826" cy="4026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44104" cy="414702"/>
                          </a:xfrm>
                          <a:prstGeom prst="rect">
                            <a:avLst/>
                          </a:prstGeom>
                        </pic:spPr>
                      </pic:pic>
                    </a:graphicData>
                  </a:graphic>
                </wp:inline>
              </w:drawing>
            </w:r>
          </w:p>
          <w:p w:rsidR="006A75B2" w:rsidRPr="006A75B2" w:rsidRDefault="006A75B2" w:rsidP="006A75B2">
            <w:pPr>
              <w:spacing w:before="100" w:beforeAutospacing="1" w:after="100" w:afterAutospacing="1"/>
              <w:rPr>
                <w:rFonts w:eastAsia="Times New Roman" w:cstheme="minorHAnsi"/>
                <w:szCs w:val="24"/>
              </w:rPr>
            </w:pPr>
            <w:r w:rsidRPr="006A75B2">
              <w:rPr>
                <w:rFonts w:eastAsia="Times New Roman" w:cstheme="minorHAnsi"/>
                <w:szCs w:val="24"/>
              </w:rPr>
              <w:t>Where yˉ​ is the mean of the actual values.</w:t>
            </w:r>
          </w:p>
          <w:p w:rsidR="006A75B2" w:rsidRPr="006A75B2" w:rsidRDefault="006A75B2" w:rsidP="006A75B2">
            <w:pPr>
              <w:spacing w:before="100" w:beforeAutospacing="1" w:after="100" w:afterAutospacing="1"/>
              <w:rPr>
                <w:rFonts w:eastAsia="Times New Roman" w:cstheme="minorHAnsi"/>
                <w:szCs w:val="24"/>
              </w:rPr>
            </w:pPr>
            <w:r w:rsidRPr="006A75B2">
              <w:rPr>
                <w:rFonts w:eastAsia="Times New Roman" w:cstheme="minorHAnsi"/>
                <w:szCs w:val="24"/>
              </w:rPr>
              <w:t>R² ranges from 0 to 1, where 1 indicates perfect predictions, and 0 indicates that the model does not explain any variance.</w:t>
            </w:r>
          </w:p>
          <w:p w:rsidR="006A75B2" w:rsidRPr="006A75B2" w:rsidRDefault="006A75B2" w:rsidP="006A75B2">
            <w:pPr>
              <w:spacing w:before="100" w:beforeAutospacing="1" w:after="100" w:afterAutospacing="1"/>
              <w:rPr>
                <w:rFonts w:cstheme="minorHAnsi"/>
              </w:rPr>
            </w:pPr>
            <w:r w:rsidRPr="006A75B2">
              <w:rPr>
                <w:rFonts w:eastAsia="Times New Roman" w:cstheme="minorHAnsi"/>
                <w:b/>
                <w:bCs/>
                <w:szCs w:val="24"/>
              </w:rPr>
              <w:t>Use Case</w:t>
            </w:r>
            <w:r w:rsidRPr="006A75B2">
              <w:rPr>
                <w:rFonts w:eastAsia="Times New Roman" w:cstheme="minorHAnsi"/>
                <w:szCs w:val="24"/>
              </w:rPr>
              <w:t>: When you want to understand how well the model is fitting the data and how much variance is explained.</w:t>
            </w:r>
          </w:p>
        </w:tc>
      </w:tr>
      <w:tr w:rsidR="00385509" w:rsidTr="001402E2">
        <w:tc>
          <w:tcPr>
            <w:tcW w:w="4135" w:type="dxa"/>
          </w:tcPr>
          <w:p w:rsidR="006A75B2" w:rsidRPr="006A75B2" w:rsidRDefault="006A75B2" w:rsidP="006A75B2">
            <w:pPr>
              <w:spacing w:before="100" w:beforeAutospacing="1" w:after="100" w:afterAutospacing="1"/>
              <w:outlineLvl w:val="2"/>
              <w:rPr>
                <w:rFonts w:eastAsia="Times New Roman" w:cstheme="minorHAnsi"/>
                <w:b/>
                <w:bCs/>
                <w:szCs w:val="27"/>
              </w:rPr>
            </w:pPr>
            <w:r w:rsidRPr="006A75B2">
              <w:rPr>
                <w:rFonts w:eastAsia="Times New Roman" w:cstheme="minorHAnsi"/>
                <w:b/>
                <w:bCs/>
                <w:szCs w:val="27"/>
              </w:rPr>
              <w:t>Adjusted R-squared</w:t>
            </w:r>
          </w:p>
          <w:p w:rsidR="006A75B2" w:rsidRPr="006A75B2" w:rsidRDefault="006A75B2" w:rsidP="006A75B2">
            <w:pPr>
              <w:spacing w:before="100" w:beforeAutospacing="1" w:after="100" w:afterAutospacing="1"/>
              <w:rPr>
                <w:rFonts w:eastAsia="Times New Roman" w:cstheme="minorHAnsi"/>
                <w:szCs w:val="24"/>
              </w:rPr>
            </w:pPr>
            <w:r w:rsidRPr="006A75B2">
              <w:rPr>
                <w:rFonts w:eastAsia="Times New Roman" w:cstheme="minorHAnsi"/>
                <w:szCs w:val="24"/>
              </w:rPr>
              <w:t>A modified version of R² that adjusts for the number of predictors in the model. It helps to prevent overfitting when there are multiple features.</w:t>
            </w:r>
          </w:p>
          <w:p w:rsidR="00385509" w:rsidRPr="006A75B2" w:rsidRDefault="00385509" w:rsidP="00114C6C">
            <w:pPr>
              <w:rPr>
                <w:rFonts w:cstheme="minorHAnsi"/>
              </w:rPr>
            </w:pPr>
          </w:p>
        </w:tc>
        <w:tc>
          <w:tcPr>
            <w:tcW w:w="5215" w:type="dxa"/>
          </w:tcPr>
          <w:p w:rsidR="00385509" w:rsidRPr="006A75B2" w:rsidRDefault="006A75B2" w:rsidP="00114C6C">
            <w:pPr>
              <w:rPr>
                <w:rFonts w:cstheme="minorHAnsi"/>
              </w:rPr>
            </w:pPr>
            <w:r w:rsidRPr="006A75B2">
              <w:rPr>
                <w:rFonts w:cstheme="minorHAnsi"/>
              </w:rPr>
              <w:t xml:space="preserve">               </w:t>
            </w:r>
            <w:r w:rsidRPr="006A75B2">
              <w:rPr>
                <w:rFonts w:cstheme="minorHAnsi"/>
              </w:rPr>
              <w:drawing>
                <wp:inline distT="0" distB="0" distL="0" distR="0" wp14:anchorId="43B3C01A" wp14:editId="0715DFF7">
                  <wp:extent cx="1774209" cy="35809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6080" cy="364530"/>
                          </a:xfrm>
                          <a:prstGeom prst="rect">
                            <a:avLst/>
                          </a:prstGeom>
                        </pic:spPr>
                      </pic:pic>
                    </a:graphicData>
                  </a:graphic>
                </wp:inline>
              </w:drawing>
            </w:r>
          </w:p>
          <w:p w:rsidR="006A75B2" w:rsidRDefault="006A75B2" w:rsidP="006A75B2">
            <w:pPr>
              <w:spacing w:before="100" w:beforeAutospacing="1" w:after="100" w:afterAutospacing="1"/>
              <w:rPr>
                <w:rFonts w:eastAsia="Times New Roman" w:cstheme="minorHAnsi"/>
                <w:szCs w:val="24"/>
              </w:rPr>
            </w:pPr>
            <w:r w:rsidRPr="006A75B2">
              <w:rPr>
                <w:rFonts w:eastAsia="Times New Roman" w:cstheme="minorHAnsi"/>
                <w:szCs w:val="24"/>
              </w:rPr>
              <w:t xml:space="preserve">Where n is the number of data points and </w:t>
            </w:r>
            <w:proofErr w:type="spellStart"/>
            <w:r w:rsidRPr="006A75B2">
              <w:rPr>
                <w:rFonts w:eastAsia="Times New Roman" w:cstheme="minorHAnsi"/>
                <w:szCs w:val="24"/>
              </w:rPr>
              <w:t>ppp</w:t>
            </w:r>
            <w:proofErr w:type="spellEnd"/>
            <w:r w:rsidRPr="006A75B2">
              <w:rPr>
                <w:rFonts w:eastAsia="Times New Roman" w:cstheme="minorHAnsi"/>
                <w:szCs w:val="24"/>
              </w:rPr>
              <w:t xml:space="preserve"> is the number of predictors.</w:t>
            </w:r>
          </w:p>
          <w:p w:rsidR="006A75B2" w:rsidRPr="006A75B2" w:rsidRDefault="006A75B2" w:rsidP="006A75B2">
            <w:pPr>
              <w:spacing w:before="100" w:beforeAutospacing="1" w:after="100" w:afterAutospacing="1"/>
              <w:rPr>
                <w:rFonts w:eastAsia="Times New Roman" w:cstheme="minorHAnsi"/>
                <w:szCs w:val="24"/>
              </w:rPr>
            </w:pPr>
            <w:r w:rsidRPr="006A75B2">
              <w:rPr>
                <w:rFonts w:eastAsia="Times New Roman" w:cstheme="minorHAnsi"/>
                <w:szCs w:val="24"/>
              </w:rPr>
              <w:t>Unlike R², it penalizes the addition of irrelevant features, making it a better metric when comparing models with different numbers of predictors.</w:t>
            </w:r>
          </w:p>
          <w:p w:rsidR="006A75B2" w:rsidRPr="006A75B2" w:rsidRDefault="006A75B2" w:rsidP="006A75B2">
            <w:pPr>
              <w:spacing w:before="100" w:beforeAutospacing="1" w:after="100" w:afterAutospacing="1"/>
              <w:rPr>
                <w:rFonts w:eastAsia="Times New Roman" w:cstheme="minorHAnsi"/>
                <w:szCs w:val="24"/>
              </w:rPr>
            </w:pPr>
            <w:r w:rsidRPr="006A75B2">
              <w:rPr>
                <w:rFonts w:eastAsia="Times New Roman" w:cstheme="minorHAnsi"/>
                <w:b/>
                <w:bCs/>
                <w:szCs w:val="24"/>
              </w:rPr>
              <w:lastRenderedPageBreak/>
              <w:t>Use Case</w:t>
            </w:r>
            <w:r w:rsidRPr="006A75B2">
              <w:rPr>
                <w:rFonts w:eastAsia="Times New Roman" w:cstheme="minorHAnsi"/>
                <w:szCs w:val="24"/>
              </w:rPr>
              <w:t>: When comparing models with different numbers of features.</w:t>
            </w:r>
          </w:p>
        </w:tc>
      </w:tr>
      <w:tr w:rsidR="00385509" w:rsidTr="001402E2">
        <w:tc>
          <w:tcPr>
            <w:tcW w:w="4135" w:type="dxa"/>
          </w:tcPr>
          <w:p w:rsidR="00573C59" w:rsidRPr="00573C59" w:rsidRDefault="00573C59" w:rsidP="00573C59">
            <w:pPr>
              <w:spacing w:before="100" w:beforeAutospacing="1" w:after="100" w:afterAutospacing="1"/>
              <w:outlineLvl w:val="2"/>
              <w:rPr>
                <w:rFonts w:eastAsia="Times New Roman" w:cstheme="minorHAnsi"/>
                <w:b/>
                <w:bCs/>
              </w:rPr>
            </w:pPr>
            <w:r w:rsidRPr="00573C59">
              <w:rPr>
                <w:rFonts w:eastAsia="Times New Roman" w:cstheme="minorHAnsi"/>
                <w:b/>
                <w:bCs/>
              </w:rPr>
              <w:lastRenderedPageBreak/>
              <w:t>Mean Absolute Percentage Error (MAPE)</w:t>
            </w:r>
          </w:p>
          <w:p w:rsidR="00385509" w:rsidRPr="00573C59" w:rsidRDefault="00573C59" w:rsidP="00573C59">
            <w:pPr>
              <w:spacing w:before="100" w:beforeAutospacing="1" w:after="100" w:afterAutospacing="1"/>
              <w:rPr>
                <w:rFonts w:eastAsia="Times New Roman" w:cstheme="minorHAnsi"/>
              </w:rPr>
            </w:pPr>
            <w:r w:rsidRPr="00573C59">
              <w:rPr>
                <w:rFonts w:eastAsia="Times New Roman" w:cstheme="minorHAnsi"/>
              </w:rPr>
              <w:t>The average of the absolute percentage differences between the predicted and actual values.</w:t>
            </w:r>
          </w:p>
        </w:tc>
        <w:tc>
          <w:tcPr>
            <w:tcW w:w="5215" w:type="dxa"/>
          </w:tcPr>
          <w:p w:rsidR="00385509" w:rsidRDefault="00573C59" w:rsidP="00114C6C">
            <w:pPr>
              <w:rPr>
                <w:rFonts w:cstheme="minorHAnsi"/>
              </w:rPr>
            </w:pPr>
            <w:r>
              <w:rPr>
                <w:rFonts w:cstheme="minorHAnsi"/>
              </w:rPr>
              <w:t xml:space="preserve">                       </w:t>
            </w:r>
            <w:r w:rsidRPr="00573C59">
              <w:rPr>
                <w:rFonts w:cstheme="minorHAnsi"/>
              </w:rPr>
              <w:drawing>
                <wp:inline distT="0" distB="0" distL="0" distR="0" wp14:anchorId="6280CF51" wp14:editId="1A0FEA81">
                  <wp:extent cx="1351128" cy="362498"/>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01153" cy="375919"/>
                          </a:xfrm>
                          <a:prstGeom prst="rect">
                            <a:avLst/>
                          </a:prstGeom>
                        </pic:spPr>
                      </pic:pic>
                    </a:graphicData>
                  </a:graphic>
                </wp:inline>
              </w:drawing>
            </w:r>
          </w:p>
          <w:p w:rsidR="00573C59" w:rsidRPr="00573C59" w:rsidRDefault="00573C59" w:rsidP="00573C59">
            <w:pPr>
              <w:spacing w:before="100" w:beforeAutospacing="1" w:after="100" w:afterAutospacing="1"/>
              <w:rPr>
                <w:rFonts w:eastAsia="Times New Roman" w:cstheme="minorHAnsi"/>
                <w:szCs w:val="24"/>
              </w:rPr>
            </w:pPr>
            <w:r w:rsidRPr="00573C59">
              <w:rPr>
                <w:rFonts w:eastAsia="Times New Roman" w:cstheme="minorHAnsi"/>
                <w:szCs w:val="24"/>
              </w:rPr>
              <w:t>MAPE expresses the error as a percentage, making it easy to interpret. However, it can be undefined if any actual value (</w:t>
            </w:r>
            <w:proofErr w:type="spellStart"/>
            <w:r w:rsidRPr="00573C59">
              <w:rPr>
                <w:rFonts w:eastAsia="Times New Roman" w:cstheme="minorHAnsi"/>
                <w:szCs w:val="24"/>
              </w:rPr>
              <w:t>yi</w:t>
            </w:r>
            <w:proofErr w:type="spellEnd"/>
            <w:r w:rsidRPr="00573C59">
              <w:rPr>
                <w:rFonts w:eastAsia="Times New Roman" w:cstheme="minorHAnsi"/>
                <w:szCs w:val="24"/>
              </w:rPr>
              <w:t>​) is zero.</w:t>
            </w:r>
          </w:p>
          <w:p w:rsidR="00573C59" w:rsidRPr="00573C59" w:rsidRDefault="00573C59" w:rsidP="00573C59">
            <w:pPr>
              <w:spacing w:before="100" w:beforeAutospacing="1" w:after="100" w:afterAutospacing="1"/>
              <w:rPr>
                <w:rFonts w:ascii="Times New Roman" w:eastAsia="Times New Roman" w:hAnsi="Times New Roman" w:cs="Times New Roman"/>
                <w:sz w:val="24"/>
                <w:szCs w:val="24"/>
              </w:rPr>
            </w:pPr>
            <w:r w:rsidRPr="00573C59">
              <w:rPr>
                <w:rFonts w:eastAsia="Times New Roman" w:cstheme="minorHAnsi"/>
                <w:b/>
                <w:bCs/>
                <w:szCs w:val="24"/>
              </w:rPr>
              <w:t>Use Case</w:t>
            </w:r>
            <w:r w:rsidRPr="00573C59">
              <w:rPr>
                <w:rFonts w:eastAsia="Times New Roman" w:cstheme="minorHAnsi"/>
                <w:szCs w:val="24"/>
              </w:rPr>
              <w:t>: When relative error is important and the target values are non-zero.</w:t>
            </w:r>
          </w:p>
        </w:tc>
      </w:tr>
      <w:tr w:rsidR="00385509" w:rsidTr="001402E2">
        <w:tc>
          <w:tcPr>
            <w:tcW w:w="4135" w:type="dxa"/>
          </w:tcPr>
          <w:p w:rsidR="00573C59" w:rsidRPr="00573C59" w:rsidRDefault="00573C59" w:rsidP="00573C59">
            <w:pPr>
              <w:spacing w:before="100" w:beforeAutospacing="1" w:after="100" w:afterAutospacing="1"/>
              <w:outlineLvl w:val="2"/>
              <w:rPr>
                <w:rFonts w:eastAsia="Times New Roman" w:cstheme="minorHAnsi"/>
                <w:b/>
                <w:bCs/>
              </w:rPr>
            </w:pPr>
            <w:r w:rsidRPr="00573C59">
              <w:rPr>
                <w:rFonts w:eastAsia="Times New Roman" w:cstheme="minorHAnsi"/>
                <w:b/>
                <w:bCs/>
              </w:rPr>
              <w:t>Explained Variance Score</w:t>
            </w:r>
          </w:p>
          <w:p w:rsidR="00385509" w:rsidRPr="00573C59" w:rsidRDefault="00573C59" w:rsidP="00573C59">
            <w:pPr>
              <w:spacing w:before="100" w:beforeAutospacing="1" w:after="100" w:afterAutospacing="1"/>
              <w:rPr>
                <w:rFonts w:eastAsia="Times New Roman" w:cstheme="minorHAnsi"/>
              </w:rPr>
            </w:pPr>
            <w:r w:rsidRPr="00573C59">
              <w:rPr>
                <w:rFonts w:eastAsia="Times New Roman" w:cstheme="minorHAnsi"/>
              </w:rPr>
              <w:t>Measures the proportion of variance in the target variable that is explained by the model.</w:t>
            </w:r>
          </w:p>
        </w:tc>
        <w:tc>
          <w:tcPr>
            <w:tcW w:w="5215" w:type="dxa"/>
          </w:tcPr>
          <w:p w:rsidR="00573C59" w:rsidRDefault="00573C59" w:rsidP="00573C59">
            <w:pPr>
              <w:rPr>
                <w:rFonts w:cstheme="minorHAnsi"/>
              </w:rPr>
            </w:pPr>
            <w:r>
              <w:rPr>
                <w:rFonts w:cstheme="minorHAnsi"/>
              </w:rPr>
              <w:t xml:space="preserve">            </w:t>
            </w:r>
            <w:r w:rsidRPr="00573C59">
              <w:rPr>
                <w:rFonts w:cstheme="minorHAnsi"/>
              </w:rPr>
              <w:drawing>
                <wp:inline distT="0" distB="0" distL="0" distR="0" wp14:anchorId="74615D99" wp14:editId="18B0D646">
                  <wp:extent cx="2059573" cy="4776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2895" cy="520190"/>
                          </a:xfrm>
                          <a:prstGeom prst="rect">
                            <a:avLst/>
                          </a:prstGeom>
                        </pic:spPr>
                      </pic:pic>
                    </a:graphicData>
                  </a:graphic>
                </wp:inline>
              </w:drawing>
            </w:r>
          </w:p>
          <w:p w:rsidR="00573C59" w:rsidRPr="00573C59" w:rsidRDefault="00573C59" w:rsidP="00573C59">
            <w:pPr>
              <w:rPr>
                <w:rFonts w:cstheme="minorHAnsi"/>
                <w:sz w:val="20"/>
              </w:rPr>
            </w:pPr>
            <w:r w:rsidRPr="00573C59">
              <w:rPr>
                <w:rFonts w:eastAsia="Times New Roman" w:cstheme="minorHAnsi"/>
                <w:szCs w:val="24"/>
              </w:rPr>
              <w:t>A value close to 1 indicates a good model fit, and a value close to 0 indicates a poor fit.</w:t>
            </w:r>
          </w:p>
          <w:p w:rsidR="00573C59" w:rsidRPr="00573C59" w:rsidRDefault="00573C59" w:rsidP="00573C59">
            <w:pPr>
              <w:spacing w:before="100" w:beforeAutospacing="1" w:after="100" w:afterAutospacing="1"/>
              <w:rPr>
                <w:rFonts w:ascii="Times New Roman" w:eastAsia="Times New Roman" w:hAnsi="Times New Roman" w:cs="Times New Roman"/>
                <w:sz w:val="24"/>
                <w:szCs w:val="24"/>
              </w:rPr>
            </w:pPr>
            <w:r w:rsidRPr="00573C59">
              <w:rPr>
                <w:rFonts w:eastAsia="Times New Roman" w:cstheme="minorHAnsi"/>
                <w:b/>
                <w:bCs/>
                <w:szCs w:val="24"/>
              </w:rPr>
              <w:t>Use Case</w:t>
            </w:r>
            <w:r w:rsidRPr="00573C59">
              <w:rPr>
                <w:rFonts w:eastAsia="Times New Roman" w:cstheme="minorHAnsi"/>
                <w:szCs w:val="24"/>
              </w:rPr>
              <w:t>: When you need to understand how much of the target's variance is captured by the model.</w:t>
            </w:r>
          </w:p>
        </w:tc>
      </w:tr>
      <w:tr w:rsidR="00385509" w:rsidTr="001402E2">
        <w:tc>
          <w:tcPr>
            <w:tcW w:w="4135" w:type="dxa"/>
          </w:tcPr>
          <w:p w:rsidR="00385509" w:rsidRDefault="00573C59" w:rsidP="00114C6C">
            <w:pPr>
              <w:rPr>
                <w:b/>
              </w:rPr>
            </w:pPr>
            <w:r w:rsidRPr="00573C59">
              <w:rPr>
                <w:b/>
              </w:rPr>
              <w:t>Huber Loss</w:t>
            </w:r>
          </w:p>
          <w:p w:rsidR="00573C59" w:rsidRPr="00573C59" w:rsidRDefault="00573C59" w:rsidP="00114C6C">
            <w:pPr>
              <w:rPr>
                <w:b/>
              </w:rPr>
            </w:pPr>
          </w:p>
          <w:p w:rsidR="00573C59" w:rsidRPr="008E54F2" w:rsidRDefault="00573C59" w:rsidP="00114C6C">
            <w:pPr>
              <w:rPr>
                <w:rFonts w:cstheme="minorHAnsi"/>
              </w:rPr>
            </w:pPr>
            <w:r>
              <w:t>A loss function that combines MSE and MAE, penalizing large errors less than MSE but more than MAE.</w:t>
            </w:r>
          </w:p>
        </w:tc>
        <w:tc>
          <w:tcPr>
            <w:tcW w:w="5215" w:type="dxa"/>
          </w:tcPr>
          <w:p w:rsidR="00385509" w:rsidRDefault="00573C59" w:rsidP="00114C6C">
            <w:pPr>
              <w:rPr>
                <w:rFonts w:cstheme="minorHAnsi"/>
              </w:rPr>
            </w:pPr>
            <w:r>
              <w:rPr>
                <w:rFonts w:cstheme="minorHAnsi"/>
              </w:rPr>
              <w:t xml:space="preserve">                    </w:t>
            </w:r>
            <w:r w:rsidRPr="00573C59">
              <w:rPr>
                <w:rFonts w:cstheme="minorHAnsi"/>
              </w:rPr>
              <w:drawing>
                <wp:inline distT="0" distB="0" distL="0" distR="0" wp14:anchorId="79C5C407" wp14:editId="6019EEEE">
                  <wp:extent cx="1937982" cy="414920"/>
                  <wp:effectExtent l="0" t="0" r="571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73693" cy="443976"/>
                          </a:xfrm>
                          <a:prstGeom prst="rect">
                            <a:avLst/>
                          </a:prstGeom>
                        </pic:spPr>
                      </pic:pic>
                    </a:graphicData>
                  </a:graphic>
                </wp:inline>
              </w:drawing>
            </w:r>
          </w:p>
          <w:p w:rsidR="00573C59" w:rsidRPr="00573C59" w:rsidRDefault="00573C59" w:rsidP="00573C59">
            <w:pPr>
              <w:spacing w:before="100" w:beforeAutospacing="1" w:after="100" w:afterAutospacing="1"/>
              <w:rPr>
                <w:rFonts w:eastAsia="Times New Roman" w:cstheme="minorHAnsi"/>
                <w:szCs w:val="24"/>
              </w:rPr>
            </w:pPr>
            <w:r w:rsidRPr="00573C59">
              <w:rPr>
                <w:rFonts w:eastAsia="Times New Roman" w:cstheme="minorHAnsi"/>
                <w:szCs w:val="24"/>
              </w:rPr>
              <w:t>It’s robust to outliers, similar to MAE, but less sensitive than MAE when the error is small.</w:t>
            </w:r>
          </w:p>
          <w:p w:rsidR="00573C59" w:rsidRPr="00573C59" w:rsidRDefault="00573C59" w:rsidP="00573C59">
            <w:pPr>
              <w:spacing w:before="100" w:beforeAutospacing="1" w:after="100" w:afterAutospacing="1"/>
              <w:rPr>
                <w:rFonts w:ascii="Times New Roman" w:eastAsia="Times New Roman" w:hAnsi="Times New Roman" w:cs="Times New Roman"/>
                <w:sz w:val="24"/>
                <w:szCs w:val="24"/>
              </w:rPr>
            </w:pPr>
            <w:r w:rsidRPr="00573C59">
              <w:rPr>
                <w:rFonts w:eastAsia="Times New Roman" w:cstheme="minorHAnsi"/>
                <w:b/>
                <w:bCs/>
                <w:szCs w:val="24"/>
              </w:rPr>
              <w:t>Use Case</w:t>
            </w:r>
            <w:r w:rsidRPr="00573C59">
              <w:rPr>
                <w:rFonts w:eastAsia="Times New Roman" w:cstheme="minorHAnsi"/>
                <w:szCs w:val="24"/>
              </w:rPr>
              <w:t>: When you want a balance between penalizing large errors and robustness to outliers</w:t>
            </w:r>
            <w:r w:rsidRPr="00573C59">
              <w:rPr>
                <w:rFonts w:ascii="Times New Roman" w:eastAsia="Times New Roman" w:hAnsi="Times New Roman" w:cs="Times New Roman"/>
                <w:sz w:val="24"/>
                <w:szCs w:val="24"/>
              </w:rPr>
              <w:t>.</w:t>
            </w:r>
          </w:p>
        </w:tc>
      </w:tr>
      <w:tr w:rsidR="00573C59" w:rsidTr="001402E2">
        <w:tc>
          <w:tcPr>
            <w:tcW w:w="4135" w:type="dxa"/>
          </w:tcPr>
          <w:p w:rsidR="00573C59" w:rsidRPr="00573C59" w:rsidRDefault="00573C59" w:rsidP="00573C59">
            <w:pPr>
              <w:spacing w:before="100" w:beforeAutospacing="1" w:after="100" w:afterAutospacing="1"/>
              <w:outlineLvl w:val="2"/>
              <w:rPr>
                <w:rFonts w:eastAsia="Times New Roman" w:cstheme="minorHAnsi"/>
                <w:b/>
                <w:bCs/>
              </w:rPr>
            </w:pPr>
            <w:r w:rsidRPr="00573C59">
              <w:rPr>
                <w:rFonts w:eastAsia="Times New Roman" w:cstheme="minorHAnsi"/>
                <w:b/>
                <w:bCs/>
              </w:rPr>
              <w:t>Quantile Loss</w:t>
            </w:r>
          </w:p>
          <w:p w:rsidR="00573C59" w:rsidRPr="00573C59" w:rsidRDefault="00573C59" w:rsidP="00573C59">
            <w:pPr>
              <w:spacing w:before="100" w:beforeAutospacing="1" w:after="100" w:afterAutospacing="1"/>
              <w:rPr>
                <w:rFonts w:eastAsia="Times New Roman" w:cstheme="minorHAnsi"/>
              </w:rPr>
            </w:pPr>
            <w:r w:rsidRPr="00573C59">
              <w:rPr>
                <w:rFonts w:eastAsia="Times New Roman" w:cstheme="minorHAnsi"/>
              </w:rPr>
              <w:t>Used for quantile regression, it measures the difference between predicted and actual values in terms of a quantile.</w:t>
            </w:r>
          </w:p>
          <w:p w:rsidR="00573C59" w:rsidRPr="00573C59" w:rsidRDefault="00573C59" w:rsidP="00114C6C">
            <w:pPr>
              <w:rPr>
                <w:b/>
              </w:rPr>
            </w:pPr>
          </w:p>
        </w:tc>
        <w:tc>
          <w:tcPr>
            <w:tcW w:w="5215" w:type="dxa"/>
          </w:tcPr>
          <w:p w:rsidR="00573C59" w:rsidRDefault="00573C59" w:rsidP="00114C6C">
            <w:pPr>
              <w:rPr>
                <w:rFonts w:cstheme="minorHAnsi"/>
              </w:rPr>
            </w:pPr>
            <w:r>
              <w:rPr>
                <w:rFonts w:cstheme="minorHAnsi"/>
              </w:rPr>
              <w:t xml:space="preserve">                               </w:t>
            </w:r>
            <w:r w:rsidRPr="00573C59">
              <w:rPr>
                <w:rFonts w:cstheme="minorHAnsi"/>
              </w:rPr>
              <w:drawing>
                <wp:inline distT="0" distB="0" distL="0" distR="0" wp14:anchorId="37658EEC" wp14:editId="6029BB22">
                  <wp:extent cx="1105468" cy="436045"/>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37139" cy="448537"/>
                          </a:xfrm>
                          <a:prstGeom prst="rect">
                            <a:avLst/>
                          </a:prstGeom>
                        </pic:spPr>
                      </pic:pic>
                    </a:graphicData>
                  </a:graphic>
                </wp:inline>
              </w:drawing>
            </w:r>
          </w:p>
          <w:p w:rsidR="00573C59" w:rsidRDefault="00573C59" w:rsidP="00573C59">
            <w:pPr>
              <w:rPr>
                <w:rFonts w:cstheme="minorHAnsi"/>
              </w:rPr>
            </w:pPr>
            <w:r>
              <w:rPr>
                <w:rFonts w:cstheme="minorHAnsi"/>
              </w:rPr>
              <w:t xml:space="preserve">            </w:t>
            </w:r>
            <w:r w:rsidRPr="00573C59">
              <w:rPr>
                <w:rFonts w:cstheme="minorHAnsi"/>
              </w:rPr>
              <w:drawing>
                <wp:inline distT="0" distB="0" distL="0" distR="0" wp14:anchorId="3D05DB22" wp14:editId="1C3D3501">
                  <wp:extent cx="1840226" cy="170597"/>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1115" cy="179950"/>
                          </a:xfrm>
                          <a:prstGeom prst="rect">
                            <a:avLst/>
                          </a:prstGeom>
                        </pic:spPr>
                      </pic:pic>
                    </a:graphicData>
                  </a:graphic>
                </wp:inline>
              </w:drawing>
            </w:r>
          </w:p>
          <w:p w:rsidR="00573C59" w:rsidRDefault="00573C59" w:rsidP="00573C59">
            <w:pPr>
              <w:rPr>
                <w:rFonts w:cstheme="minorHAnsi"/>
              </w:rPr>
            </w:pPr>
          </w:p>
          <w:p w:rsidR="00573C59" w:rsidRPr="00573C59" w:rsidRDefault="00573C59" w:rsidP="00573C59">
            <w:pPr>
              <w:rPr>
                <w:rFonts w:cstheme="minorHAnsi"/>
                <w:sz w:val="20"/>
              </w:rPr>
            </w:pPr>
            <w:r w:rsidRPr="00573C59">
              <w:rPr>
                <w:rFonts w:eastAsia="Times New Roman" w:cstheme="minorHAnsi"/>
                <w:szCs w:val="24"/>
              </w:rPr>
              <w:t>It is useful when predicting specific quantiles (e.g., median or 90th percentile) instead of the mean.</w:t>
            </w:r>
          </w:p>
          <w:p w:rsidR="00573C59" w:rsidRPr="00573C59" w:rsidRDefault="00573C59" w:rsidP="00573C59">
            <w:pPr>
              <w:spacing w:before="100" w:beforeAutospacing="1" w:after="100" w:afterAutospacing="1"/>
              <w:rPr>
                <w:rFonts w:ascii="Times New Roman" w:eastAsia="Times New Roman" w:hAnsi="Times New Roman" w:cs="Times New Roman"/>
                <w:sz w:val="24"/>
                <w:szCs w:val="24"/>
              </w:rPr>
            </w:pPr>
            <w:r w:rsidRPr="00573C59">
              <w:rPr>
                <w:rFonts w:eastAsia="Times New Roman" w:cstheme="minorHAnsi"/>
                <w:b/>
                <w:bCs/>
                <w:szCs w:val="24"/>
              </w:rPr>
              <w:t>Use Case</w:t>
            </w:r>
            <w:r w:rsidRPr="00573C59">
              <w:rPr>
                <w:rFonts w:eastAsia="Times New Roman" w:cstheme="minorHAnsi"/>
                <w:szCs w:val="24"/>
              </w:rPr>
              <w:t>: For models that focus on predicting specific quantiles (e.g., the median).</w:t>
            </w:r>
          </w:p>
        </w:tc>
      </w:tr>
    </w:tbl>
    <w:p w:rsidR="00693E8B" w:rsidRDefault="00693E8B" w:rsidP="00114C6C"/>
    <w:p w:rsidR="00EF2989" w:rsidRDefault="00EF2989" w:rsidP="00114C6C">
      <w:r>
        <w:t>Each metric provides different insights into how well the regression model is performing, so the choice of metric depends on the specific goals of the model and the characteristics of the data.</w:t>
      </w:r>
    </w:p>
    <w:p w:rsidR="009444D7" w:rsidRDefault="009444D7" w:rsidP="008E54F2">
      <w:pPr>
        <w:jc w:val="center"/>
        <w:rPr>
          <w:rFonts w:cstheme="minorHAnsi"/>
          <w:b/>
          <w:sz w:val="28"/>
          <w:u w:val="single"/>
        </w:rPr>
      </w:pPr>
    </w:p>
    <w:sectPr w:rsidR="00944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52729"/>
    <w:multiLevelType w:val="hybridMultilevel"/>
    <w:tmpl w:val="BF10793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869EC"/>
    <w:multiLevelType w:val="multilevel"/>
    <w:tmpl w:val="8BCA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C7C1A"/>
    <w:multiLevelType w:val="multilevel"/>
    <w:tmpl w:val="AE72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81851"/>
    <w:multiLevelType w:val="multilevel"/>
    <w:tmpl w:val="4722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A33B8"/>
    <w:multiLevelType w:val="multilevel"/>
    <w:tmpl w:val="BCD2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870EF"/>
    <w:multiLevelType w:val="multilevel"/>
    <w:tmpl w:val="7E5C2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DD1A51"/>
    <w:multiLevelType w:val="multilevel"/>
    <w:tmpl w:val="9CC4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162CB3"/>
    <w:multiLevelType w:val="multilevel"/>
    <w:tmpl w:val="1460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4244A4"/>
    <w:multiLevelType w:val="hybridMultilevel"/>
    <w:tmpl w:val="FC74A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4A0F80"/>
    <w:multiLevelType w:val="multilevel"/>
    <w:tmpl w:val="B6CE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751C98"/>
    <w:multiLevelType w:val="multilevel"/>
    <w:tmpl w:val="6720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13742D"/>
    <w:multiLevelType w:val="multilevel"/>
    <w:tmpl w:val="7F9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B553D7"/>
    <w:multiLevelType w:val="multilevel"/>
    <w:tmpl w:val="3270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1E6F6E"/>
    <w:multiLevelType w:val="multilevel"/>
    <w:tmpl w:val="52A26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3844CF"/>
    <w:multiLevelType w:val="multilevel"/>
    <w:tmpl w:val="1294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A35C99"/>
    <w:multiLevelType w:val="multilevel"/>
    <w:tmpl w:val="501C9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E87E8E"/>
    <w:multiLevelType w:val="hybridMultilevel"/>
    <w:tmpl w:val="A55C4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6425C9"/>
    <w:multiLevelType w:val="multilevel"/>
    <w:tmpl w:val="ABE4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7B0DD2"/>
    <w:multiLevelType w:val="multilevel"/>
    <w:tmpl w:val="C9C8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D202F0"/>
    <w:multiLevelType w:val="multilevel"/>
    <w:tmpl w:val="E4344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C456BB"/>
    <w:multiLevelType w:val="multilevel"/>
    <w:tmpl w:val="0E402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B660A5"/>
    <w:multiLevelType w:val="multilevel"/>
    <w:tmpl w:val="E17C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5A7821"/>
    <w:multiLevelType w:val="multilevel"/>
    <w:tmpl w:val="9540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982405"/>
    <w:multiLevelType w:val="multilevel"/>
    <w:tmpl w:val="1ECC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A31451"/>
    <w:multiLevelType w:val="multilevel"/>
    <w:tmpl w:val="55C24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806675"/>
    <w:multiLevelType w:val="multilevel"/>
    <w:tmpl w:val="EA98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7"/>
  </w:num>
  <w:num w:numId="3">
    <w:abstractNumId w:val="9"/>
  </w:num>
  <w:num w:numId="4">
    <w:abstractNumId w:val="5"/>
  </w:num>
  <w:num w:numId="5">
    <w:abstractNumId w:val="11"/>
  </w:num>
  <w:num w:numId="6">
    <w:abstractNumId w:val="21"/>
  </w:num>
  <w:num w:numId="7">
    <w:abstractNumId w:val="6"/>
  </w:num>
  <w:num w:numId="8">
    <w:abstractNumId w:val="3"/>
  </w:num>
  <w:num w:numId="9">
    <w:abstractNumId w:val="12"/>
  </w:num>
  <w:num w:numId="10">
    <w:abstractNumId w:val="4"/>
  </w:num>
  <w:num w:numId="11">
    <w:abstractNumId w:val="8"/>
  </w:num>
  <w:num w:numId="12">
    <w:abstractNumId w:val="24"/>
  </w:num>
  <w:num w:numId="13">
    <w:abstractNumId w:val="15"/>
  </w:num>
  <w:num w:numId="14">
    <w:abstractNumId w:val="20"/>
  </w:num>
  <w:num w:numId="15">
    <w:abstractNumId w:val="22"/>
  </w:num>
  <w:num w:numId="16">
    <w:abstractNumId w:val="23"/>
  </w:num>
  <w:num w:numId="17">
    <w:abstractNumId w:val="10"/>
  </w:num>
  <w:num w:numId="18">
    <w:abstractNumId w:val="16"/>
  </w:num>
  <w:num w:numId="19">
    <w:abstractNumId w:val="0"/>
  </w:num>
  <w:num w:numId="20">
    <w:abstractNumId w:val="13"/>
  </w:num>
  <w:num w:numId="21">
    <w:abstractNumId w:val="25"/>
  </w:num>
  <w:num w:numId="22">
    <w:abstractNumId w:val="17"/>
  </w:num>
  <w:num w:numId="23">
    <w:abstractNumId w:val="14"/>
  </w:num>
  <w:num w:numId="24">
    <w:abstractNumId w:val="1"/>
  </w:num>
  <w:num w:numId="25">
    <w:abstractNumId w:val="2"/>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A5C"/>
    <w:rsid w:val="000131AE"/>
    <w:rsid w:val="00042951"/>
    <w:rsid w:val="00050B97"/>
    <w:rsid w:val="00114C6C"/>
    <w:rsid w:val="001402E2"/>
    <w:rsid w:val="00196BF6"/>
    <w:rsid w:val="001B0D9A"/>
    <w:rsid w:val="001D7F24"/>
    <w:rsid w:val="0023413F"/>
    <w:rsid w:val="0024684A"/>
    <w:rsid w:val="00254C3E"/>
    <w:rsid w:val="0026176C"/>
    <w:rsid w:val="00280A5C"/>
    <w:rsid w:val="002E078F"/>
    <w:rsid w:val="00366CE0"/>
    <w:rsid w:val="00385509"/>
    <w:rsid w:val="004C33C3"/>
    <w:rsid w:val="00502788"/>
    <w:rsid w:val="005031F2"/>
    <w:rsid w:val="00542817"/>
    <w:rsid w:val="00573C59"/>
    <w:rsid w:val="0062231F"/>
    <w:rsid w:val="00624631"/>
    <w:rsid w:val="006539A0"/>
    <w:rsid w:val="00693E8B"/>
    <w:rsid w:val="006A75B2"/>
    <w:rsid w:val="007006B0"/>
    <w:rsid w:val="0070293A"/>
    <w:rsid w:val="00715E06"/>
    <w:rsid w:val="00752821"/>
    <w:rsid w:val="007911E0"/>
    <w:rsid w:val="00874CF7"/>
    <w:rsid w:val="008B0BEE"/>
    <w:rsid w:val="008B5FCF"/>
    <w:rsid w:val="008D2522"/>
    <w:rsid w:val="008E54F2"/>
    <w:rsid w:val="009406B4"/>
    <w:rsid w:val="009444D7"/>
    <w:rsid w:val="00A24AEA"/>
    <w:rsid w:val="00B12106"/>
    <w:rsid w:val="00B559EF"/>
    <w:rsid w:val="00B837AD"/>
    <w:rsid w:val="00BA69E8"/>
    <w:rsid w:val="00D8790A"/>
    <w:rsid w:val="00E47EE3"/>
    <w:rsid w:val="00EF2989"/>
    <w:rsid w:val="00F21383"/>
    <w:rsid w:val="00F80AE4"/>
    <w:rsid w:val="00FF2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7502D"/>
  <w15:chartTrackingRefBased/>
  <w15:docId w15:val="{BB75CE0B-D27B-41CC-90CD-544986860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246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80AE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4631"/>
    <w:rPr>
      <w:rFonts w:ascii="Times New Roman" w:eastAsia="Times New Roman" w:hAnsi="Times New Roman" w:cs="Times New Roman"/>
      <w:b/>
      <w:bCs/>
      <w:sz w:val="27"/>
      <w:szCs w:val="27"/>
    </w:rPr>
  </w:style>
  <w:style w:type="character" w:styleId="Strong">
    <w:name w:val="Strong"/>
    <w:basedOn w:val="DefaultParagraphFont"/>
    <w:uiPriority w:val="22"/>
    <w:qFormat/>
    <w:rsid w:val="00624631"/>
    <w:rPr>
      <w:b/>
      <w:bCs/>
    </w:rPr>
  </w:style>
  <w:style w:type="character" w:customStyle="1" w:styleId="katex-mathml">
    <w:name w:val="katex-mathml"/>
    <w:basedOn w:val="DefaultParagraphFont"/>
    <w:rsid w:val="00624631"/>
  </w:style>
  <w:style w:type="character" w:customStyle="1" w:styleId="mord">
    <w:name w:val="mord"/>
    <w:basedOn w:val="DefaultParagraphFont"/>
    <w:rsid w:val="00624631"/>
  </w:style>
  <w:style w:type="character" w:customStyle="1" w:styleId="mrel">
    <w:name w:val="mrel"/>
    <w:basedOn w:val="DefaultParagraphFont"/>
    <w:rsid w:val="00624631"/>
  </w:style>
  <w:style w:type="character" w:customStyle="1" w:styleId="mbin">
    <w:name w:val="mbin"/>
    <w:basedOn w:val="DefaultParagraphFont"/>
    <w:rsid w:val="00624631"/>
  </w:style>
  <w:style w:type="character" w:customStyle="1" w:styleId="mopen">
    <w:name w:val="mopen"/>
    <w:basedOn w:val="DefaultParagraphFont"/>
    <w:rsid w:val="00624631"/>
  </w:style>
  <w:style w:type="character" w:customStyle="1" w:styleId="delimsizing">
    <w:name w:val="delimsizing"/>
    <w:basedOn w:val="DefaultParagraphFont"/>
    <w:rsid w:val="00624631"/>
  </w:style>
  <w:style w:type="character" w:customStyle="1" w:styleId="vlist-s">
    <w:name w:val="vlist-s"/>
    <w:basedOn w:val="DefaultParagraphFont"/>
    <w:rsid w:val="00624631"/>
  </w:style>
  <w:style w:type="character" w:customStyle="1" w:styleId="mclose">
    <w:name w:val="mclose"/>
    <w:basedOn w:val="DefaultParagraphFont"/>
    <w:rsid w:val="00624631"/>
  </w:style>
  <w:style w:type="character" w:customStyle="1" w:styleId="mpunct">
    <w:name w:val="mpunct"/>
    <w:basedOn w:val="DefaultParagraphFont"/>
    <w:rsid w:val="00624631"/>
  </w:style>
  <w:style w:type="paragraph" w:styleId="ListParagraph">
    <w:name w:val="List Paragraph"/>
    <w:basedOn w:val="Normal"/>
    <w:uiPriority w:val="34"/>
    <w:qFormat/>
    <w:rsid w:val="00254C3E"/>
    <w:pPr>
      <w:ind w:left="720"/>
      <w:contextualSpacing/>
    </w:pPr>
  </w:style>
  <w:style w:type="character" w:customStyle="1" w:styleId="Heading4Char">
    <w:name w:val="Heading 4 Char"/>
    <w:basedOn w:val="DefaultParagraphFont"/>
    <w:link w:val="Heading4"/>
    <w:uiPriority w:val="9"/>
    <w:semiHidden/>
    <w:rsid w:val="00F80AE4"/>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F80AE4"/>
    <w:rPr>
      <w:rFonts w:ascii="Courier New" w:eastAsia="Times New Roman" w:hAnsi="Courier New" w:cs="Courier New"/>
      <w:sz w:val="20"/>
      <w:szCs w:val="20"/>
    </w:rPr>
  </w:style>
  <w:style w:type="character" w:customStyle="1" w:styleId="minner">
    <w:name w:val="minner"/>
    <w:basedOn w:val="DefaultParagraphFont"/>
    <w:rsid w:val="00F80AE4"/>
  </w:style>
  <w:style w:type="character" w:customStyle="1" w:styleId="mop">
    <w:name w:val="mop"/>
    <w:basedOn w:val="DefaultParagraphFont"/>
    <w:rsid w:val="00F80AE4"/>
  </w:style>
  <w:style w:type="table" w:styleId="TableGrid">
    <w:name w:val="Table Grid"/>
    <w:basedOn w:val="TableNormal"/>
    <w:uiPriority w:val="39"/>
    <w:rsid w:val="00385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145741">
      <w:bodyDiv w:val="1"/>
      <w:marLeft w:val="0"/>
      <w:marRight w:val="0"/>
      <w:marTop w:val="0"/>
      <w:marBottom w:val="0"/>
      <w:divBdr>
        <w:top w:val="none" w:sz="0" w:space="0" w:color="auto"/>
        <w:left w:val="none" w:sz="0" w:space="0" w:color="auto"/>
        <w:bottom w:val="none" w:sz="0" w:space="0" w:color="auto"/>
        <w:right w:val="none" w:sz="0" w:space="0" w:color="auto"/>
      </w:divBdr>
    </w:div>
    <w:div w:id="390424286">
      <w:bodyDiv w:val="1"/>
      <w:marLeft w:val="0"/>
      <w:marRight w:val="0"/>
      <w:marTop w:val="0"/>
      <w:marBottom w:val="0"/>
      <w:divBdr>
        <w:top w:val="none" w:sz="0" w:space="0" w:color="auto"/>
        <w:left w:val="none" w:sz="0" w:space="0" w:color="auto"/>
        <w:bottom w:val="none" w:sz="0" w:space="0" w:color="auto"/>
        <w:right w:val="none" w:sz="0" w:space="0" w:color="auto"/>
      </w:divBdr>
    </w:div>
    <w:div w:id="659652030">
      <w:bodyDiv w:val="1"/>
      <w:marLeft w:val="0"/>
      <w:marRight w:val="0"/>
      <w:marTop w:val="0"/>
      <w:marBottom w:val="0"/>
      <w:divBdr>
        <w:top w:val="none" w:sz="0" w:space="0" w:color="auto"/>
        <w:left w:val="none" w:sz="0" w:space="0" w:color="auto"/>
        <w:bottom w:val="none" w:sz="0" w:space="0" w:color="auto"/>
        <w:right w:val="none" w:sz="0" w:space="0" w:color="auto"/>
      </w:divBdr>
    </w:div>
    <w:div w:id="770777813">
      <w:bodyDiv w:val="1"/>
      <w:marLeft w:val="0"/>
      <w:marRight w:val="0"/>
      <w:marTop w:val="0"/>
      <w:marBottom w:val="0"/>
      <w:divBdr>
        <w:top w:val="none" w:sz="0" w:space="0" w:color="auto"/>
        <w:left w:val="none" w:sz="0" w:space="0" w:color="auto"/>
        <w:bottom w:val="none" w:sz="0" w:space="0" w:color="auto"/>
        <w:right w:val="none" w:sz="0" w:space="0" w:color="auto"/>
      </w:divBdr>
    </w:div>
    <w:div w:id="782270210">
      <w:bodyDiv w:val="1"/>
      <w:marLeft w:val="0"/>
      <w:marRight w:val="0"/>
      <w:marTop w:val="0"/>
      <w:marBottom w:val="0"/>
      <w:divBdr>
        <w:top w:val="none" w:sz="0" w:space="0" w:color="auto"/>
        <w:left w:val="none" w:sz="0" w:space="0" w:color="auto"/>
        <w:bottom w:val="none" w:sz="0" w:space="0" w:color="auto"/>
        <w:right w:val="none" w:sz="0" w:space="0" w:color="auto"/>
      </w:divBdr>
    </w:div>
    <w:div w:id="861552249">
      <w:bodyDiv w:val="1"/>
      <w:marLeft w:val="0"/>
      <w:marRight w:val="0"/>
      <w:marTop w:val="0"/>
      <w:marBottom w:val="0"/>
      <w:divBdr>
        <w:top w:val="none" w:sz="0" w:space="0" w:color="auto"/>
        <w:left w:val="none" w:sz="0" w:space="0" w:color="auto"/>
        <w:bottom w:val="none" w:sz="0" w:space="0" w:color="auto"/>
        <w:right w:val="none" w:sz="0" w:space="0" w:color="auto"/>
      </w:divBdr>
    </w:div>
    <w:div w:id="874730624">
      <w:bodyDiv w:val="1"/>
      <w:marLeft w:val="0"/>
      <w:marRight w:val="0"/>
      <w:marTop w:val="0"/>
      <w:marBottom w:val="0"/>
      <w:divBdr>
        <w:top w:val="none" w:sz="0" w:space="0" w:color="auto"/>
        <w:left w:val="none" w:sz="0" w:space="0" w:color="auto"/>
        <w:bottom w:val="none" w:sz="0" w:space="0" w:color="auto"/>
        <w:right w:val="none" w:sz="0" w:space="0" w:color="auto"/>
      </w:divBdr>
    </w:div>
    <w:div w:id="980233068">
      <w:bodyDiv w:val="1"/>
      <w:marLeft w:val="0"/>
      <w:marRight w:val="0"/>
      <w:marTop w:val="0"/>
      <w:marBottom w:val="0"/>
      <w:divBdr>
        <w:top w:val="none" w:sz="0" w:space="0" w:color="auto"/>
        <w:left w:val="none" w:sz="0" w:space="0" w:color="auto"/>
        <w:bottom w:val="none" w:sz="0" w:space="0" w:color="auto"/>
        <w:right w:val="none" w:sz="0" w:space="0" w:color="auto"/>
      </w:divBdr>
    </w:div>
    <w:div w:id="1020087987">
      <w:bodyDiv w:val="1"/>
      <w:marLeft w:val="0"/>
      <w:marRight w:val="0"/>
      <w:marTop w:val="0"/>
      <w:marBottom w:val="0"/>
      <w:divBdr>
        <w:top w:val="none" w:sz="0" w:space="0" w:color="auto"/>
        <w:left w:val="none" w:sz="0" w:space="0" w:color="auto"/>
        <w:bottom w:val="none" w:sz="0" w:space="0" w:color="auto"/>
        <w:right w:val="none" w:sz="0" w:space="0" w:color="auto"/>
      </w:divBdr>
    </w:div>
    <w:div w:id="1035740642">
      <w:bodyDiv w:val="1"/>
      <w:marLeft w:val="0"/>
      <w:marRight w:val="0"/>
      <w:marTop w:val="0"/>
      <w:marBottom w:val="0"/>
      <w:divBdr>
        <w:top w:val="none" w:sz="0" w:space="0" w:color="auto"/>
        <w:left w:val="none" w:sz="0" w:space="0" w:color="auto"/>
        <w:bottom w:val="none" w:sz="0" w:space="0" w:color="auto"/>
        <w:right w:val="none" w:sz="0" w:space="0" w:color="auto"/>
      </w:divBdr>
    </w:div>
    <w:div w:id="1076053052">
      <w:bodyDiv w:val="1"/>
      <w:marLeft w:val="0"/>
      <w:marRight w:val="0"/>
      <w:marTop w:val="0"/>
      <w:marBottom w:val="0"/>
      <w:divBdr>
        <w:top w:val="none" w:sz="0" w:space="0" w:color="auto"/>
        <w:left w:val="none" w:sz="0" w:space="0" w:color="auto"/>
        <w:bottom w:val="none" w:sz="0" w:space="0" w:color="auto"/>
        <w:right w:val="none" w:sz="0" w:space="0" w:color="auto"/>
      </w:divBdr>
    </w:div>
    <w:div w:id="1165239548">
      <w:bodyDiv w:val="1"/>
      <w:marLeft w:val="0"/>
      <w:marRight w:val="0"/>
      <w:marTop w:val="0"/>
      <w:marBottom w:val="0"/>
      <w:divBdr>
        <w:top w:val="none" w:sz="0" w:space="0" w:color="auto"/>
        <w:left w:val="none" w:sz="0" w:space="0" w:color="auto"/>
        <w:bottom w:val="none" w:sz="0" w:space="0" w:color="auto"/>
        <w:right w:val="none" w:sz="0" w:space="0" w:color="auto"/>
      </w:divBdr>
    </w:div>
    <w:div w:id="1230534816">
      <w:bodyDiv w:val="1"/>
      <w:marLeft w:val="0"/>
      <w:marRight w:val="0"/>
      <w:marTop w:val="0"/>
      <w:marBottom w:val="0"/>
      <w:divBdr>
        <w:top w:val="none" w:sz="0" w:space="0" w:color="auto"/>
        <w:left w:val="none" w:sz="0" w:space="0" w:color="auto"/>
        <w:bottom w:val="none" w:sz="0" w:space="0" w:color="auto"/>
        <w:right w:val="none" w:sz="0" w:space="0" w:color="auto"/>
      </w:divBdr>
    </w:div>
    <w:div w:id="1233928146">
      <w:bodyDiv w:val="1"/>
      <w:marLeft w:val="0"/>
      <w:marRight w:val="0"/>
      <w:marTop w:val="0"/>
      <w:marBottom w:val="0"/>
      <w:divBdr>
        <w:top w:val="none" w:sz="0" w:space="0" w:color="auto"/>
        <w:left w:val="none" w:sz="0" w:space="0" w:color="auto"/>
        <w:bottom w:val="none" w:sz="0" w:space="0" w:color="auto"/>
        <w:right w:val="none" w:sz="0" w:space="0" w:color="auto"/>
      </w:divBdr>
    </w:div>
    <w:div w:id="1235814898">
      <w:bodyDiv w:val="1"/>
      <w:marLeft w:val="0"/>
      <w:marRight w:val="0"/>
      <w:marTop w:val="0"/>
      <w:marBottom w:val="0"/>
      <w:divBdr>
        <w:top w:val="none" w:sz="0" w:space="0" w:color="auto"/>
        <w:left w:val="none" w:sz="0" w:space="0" w:color="auto"/>
        <w:bottom w:val="none" w:sz="0" w:space="0" w:color="auto"/>
        <w:right w:val="none" w:sz="0" w:space="0" w:color="auto"/>
      </w:divBdr>
    </w:div>
    <w:div w:id="1291933557">
      <w:bodyDiv w:val="1"/>
      <w:marLeft w:val="0"/>
      <w:marRight w:val="0"/>
      <w:marTop w:val="0"/>
      <w:marBottom w:val="0"/>
      <w:divBdr>
        <w:top w:val="none" w:sz="0" w:space="0" w:color="auto"/>
        <w:left w:val="none" w:sz="0" w:space="0" w:color="auto"/>
        <w:bottom w:val="none" w:sz="0" w:space="0" w:color="auto"/>
        <w:right w:val="none" w:sz="0" w:space="0" w:color="auto"/>
      </w:divBdr>
    </w:div>
    <w:div w:id="1303460318">
      <w:bodyDiv w:val="1"/>
      <w:marLeft w:val="0"/>
      <w:marRight w:val="0"/>
      <w:marTop w:val="0"/>
      <w:marBottom w:val="0"/>
      <w:divBdr>
        <w:top w:val="none" w:sz="0" w:space="0" w:color="auto"/>
        <w:left w:val="none" w:sz="0" w:space="0" w:color="auto"/>
        <w:bottom w:val="none" w:sz="0" w:space="0" w:color="auto"/>
        <w:right w:val="none" w:sz="0" w:space="0" w:color="auto"/>
      </w:divBdr>
    </w:div>
    <w:div w:id="1401295585">
      <w:bodyDiv w:val="1"/>
      <w:marLeft w:val="0"/>
      <w:marRight w:val="0"/>
      <w:marTop w:val="0"/>
      <w:marBottom w:val="0"/>
      <w:divBdr>
        <w:top w:val="none" w:sz="0" w:space="0" w:color="auto"/>
        <w:left w:val="none" w:sz="0" w:space="0" w:color="auto"/>
        <w:bottom w:val="none" w:sz="0" w:space="0" w:color="auto"/>
        <w:right w:val="none" w:sz="0" w:space="0" w:color="auto"/>
      </w:divBdr>
    </w:div>
    <w:div w:id="1465392935">
      <w:bodyDiv w:val="1"/>
      <w:marLeft w:val="0"/>
      <w:marRight w:val="0"/>
      <w:marTop w:val="0"/>
      <w:marBottom w:val="0"/>
      <w:divBdr>
        <w:top w:val="none" w:sz="0" w:space="0" w:color="auto"/>
        <w:left w:val="none" w:sz="0" w:space="0" w:color="auto"/>
        <w:bottom w:val="none" w:sz="0" w:space="0" w:color="auto"/>
        <w:right w:val="none" w:sz="0" w:space="0" w:color="auto"/>
      </w:divBdr>
    </w:div>
    <w:div w:id="1480610132">
      <w:bodyDiv w:val="1"/>
      <w:marLeft w:val="0"/>
      <w:marRight w:val="0"/>
      <w:marTop w:val="0"/>
      <w:marBottom w:val="0"/>
      <w:divBdr>
        <w:top w:val="none" w:sz="0" w:space="0" w:color="auto"/>
        <w:left w:val="none" w:sz="0" w:space="0" w:color="auto"/>
        <w:bottom w:val="none" w:sz="0" w:space="0" w:color="auto"/>
        <w:right w:val="none" w:sz="0" w:space="0" w:color="auto"/>
      </w:divBdr>
      <w:divsChild>
        <w:div w:id="445202505">
          <w:marLeft w:val="0"/>
          <w:marRight w:val="0"/>
          <w:marTop w:val="0"/>
          <w:marBottom w:val="0"/>
          <w:divBdr>
            <w:top w:val="none" w:sz="0" w:space="0" w:color="auto"/>
            <w:left w:val="none" w:sz="0" w:space="0" w:color="auto"/>
            <w:bottom w:val="none" w:sz="0" w:space="0" w:color="auto"/>
            <w:right w:val="none" w:sz="0" w:space="0" w:color="auto"/>
          </w:divBdr>
          <w:divsChild>
            <w:div w:id="1549342288">
              <w:marLeft w:val="0"/>
              <w:marRight w:val="0"/>
              <w:marTop w:val="0"/>
              <w:marBottom w:val="0"/>
              <w:divBdr>
                <w:top w:val="none" w:sz="0" w:space="0" w:color="auto"/>
                <w:left w:val="none" w:sz="0" w:space="0" w:color="auto"/>
                <w:bottom w:val="none" w:sz="0" w:space="0" w:color="auto"/>
                <w:right w:val="none" w:sz="0" w:space="0" w:color="auto"/>
              </w:divBdr>
              <w:divsChild>
                <w:div w:id="1372534777">
                  <w:marLeft w:val="0"/>
                  <w:marRight w:val="0"/>
                  <w:marTop w:val="0"/>
                  <w:marBottom w:val="0"/>
                  <w:divBdr>
                    <w:top w:val="none" w:sz="0" w:space="0" w:color="auto"/>
                    <w:left w:val="none" w:sz="0" w:space="0" w:color="auto"/>
                    <w:bottom w:val="none" w:sz="0" w:space="0" w:color="auto"/>
                    <w:right w:val="none" w:sz="0" w:space="0" w:color="auto"/>
                  </w:divBdr>
                  <w:divsChild>
                    <w:div w:id="1949700219">
                      <w:marLeft w:val="0"/>
                      <w:marRight w:val="0"/>
                      <w:marTop w:val="0"/>
                      <w:marBottom w:val="0"/>
                      <w:divBdr>
                        <w:top w:val="none" w:sz="0" w:space="0" w:color="auto"/>
                        <w:left w:val="none" w:sz="0" w:space="0" w:color="auto"/>
                        <w:bottom w:val="none" w:sz="0" w:space="0" w:color="auto"/>
                        <w:right w:val="none" w:sz="0" w:space="0" w:color="auto"/>
                      </w:divBdr>
                      <w:divsChild>
                        <w:div w:id="1870335727">
                          <w:marLeft w:val="0"/>
                          <w:marRight w:val="0"/>
                          <w:marTop w:val="0"/>
                          <w:marBottom w:val="0"/>
                          <w:divBdr>
                            <w:top w:val="none" w:sz="0" w:space="0" w:color="auto"/>
                            <w:left w:val="none" w:sz="0" w:space="0" w:color="auto"/>
                            <w:bottom w:val="none" w:sz="0" w:space="0" w:color="auto"/>
                            <w:right w:val="none" w:sz="0" w:space="0" w:color="auto"/>
                          </w:divBdr>
                          <w:divsChild>
                            <w:div w:id="785318011">
                              <w:marLeft w:val="0"/>
                              <w:marRight w:val="0"/>
                              <w:marTop w:val="0"/>
                              <w:marBottom w:val="0"/>
                              <w:divBdr>
                                <w:top w:val="none" w:sz="0" w:space="0" w:color="auto"/>
                                <w:left w:val="none" w:sz="0" w:space="0" w:color="auto"/>
                                <w:bottom w:val="none" w:sz="0" w:space="0" w:color="auto"/>
                                <w:right w:val="none" w:sz="0" w:space="0" w:color="auto"/>
                              </w:divBdr>
                              <w:divsChild>
                                <w:div w:id="1399088917">
                                  <w:marLeft w:val="0"/>
                                  <w:marRight w:val="0"/>
                                  <w:marTop w:val="0"/>
                                  <w:marBottom w:val="0"/>
                                  <w:divBdr>
                                    <w:top w:val="none" w:sz="0" w:space="0" w:color="auto"/>
                                    <w:left w:val="none" w:sz="0" w:space="0" w:color="auto"/>
                                    <w:bottom w:val="none" w:sz="0" w:space="0" w:color="auto"/>
                                    <w:right w:val="none" w:sz="0" w:space="0" w:color="auto"/>
                                  </w:divBdr>
                                  <w:divsChild>
                                    <w:div w:id="15213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8004812">
      <w:bodyDiv w:val="1"/>
      <w:marLeft w:val="0"/>
      <w:marRight w:val="0"/>
      <w:marTop w:val="0"/>
      <w:marBottom w:val="0"/>
      <w:divBdr>
        <w:top w:val="none" w:sz="0" w:space="0" w:color="auto"/>
        <w:left w:val="none" w:sz="0" w:space="0" w:color="auto"/>
        <w:bottom w:val="none" w:sz="0" w:space="0" w:color="auto"/>
        <w:right w:val="none" w:sz="0" w:space="0" w:color="auto"/>
      </w:divBdr>
    </w:div>
    <w:div w:id="1538157878">
      <w:bodyDiv w:val="1"/>
      <w:marLeft w:val="0"/>
      <w:marRight w:val="0"/>
      <w:marTop w:val="0"/>
      <w:marBottom w:val="0"/>
      <w:divBdr>
        <w:top w:val="none" w:sz="0" w:space="0" w:color="auto"/>
        <w:left w:val="none" w:sz="0" w:space="0" w:color="auto"/>
        <w:bottom w:val="none" w:sz="0" w:space="0" w:color="auto"/>
        <w:right w:val="none" w:sz="0" w:space="0" w:color="auto"/>
      </w:divBdr>
    </w:div>
    <w:div w:id="1575965453">
      <w:bodyDiv w:val="1"/>
      <w:marLeft w:val="0"/>
      <w:marRight w:val="0"/>
      <w:marTop w:val="0"/>
      <w:marBottom w:val="0"/>
      <w:divBdr>
        <w:top w:val="none" w:sz="0" w:space="0" w:color="auto"/>
        <w:left w:val="none" w:sz="0" w:space="0" w:color="auto"/>
        <w:bottom w:val="none" w:sz="0" w:space="0" w:color="auto"/>
        <w:right w:val="none" w:sz="0" w:space="0" w:color="auto"/>
      </w:divBdr>
    </w:div>
    <w:div w:id="1604141532">
      <w:bodyDiv w:val="1"/>
      <w:marLeft w:val="0"/>
      <w:marRight w:val="0"/>
      <w:marTop w:val="0"/>
      <w:marBottom w:val="0"/>
      <w:divBdr>
        <w:top w:val="none" w:sz="0" w:space="0" w:color="auto"/>
        <w:left w:val="none" w:sz="0" w:space="0" w:color="auto"/>
        <w:bottom w:val="none" w:sz="0" w:space="0" w:color="auto"/>
        <w:right w:val="none" w:sz="0" w:space="0" w:color="auto"/>
      </w:divBdr>
    </w:div>
    <w:div w:id="1638797560">
      <w:bodyDiv w:val="1"/>
      <w:marLeft w:val="0"/>
      <w:marRight w:val="0"/>
      <w:marTop w:val="0"/>
      <w:marBottom w:val="0"/>
      <w:divBdr>
        <w:top w:val="none" w:sz="0" w:space="0" w:color="auto"/>
        <w:left w:val="none" w:sz="0" w:space="0" w:color="auto"/>
        <w:bottom w:val="none" w:sz="0" w:space="0" w:color="auto"/>
        <w:right w:val="none" w:sz="0" w:space="0" w:color="auto"/>
      </w:divBdr>
    </w:div>
    <w:div w:id="1664775140">
      <w:bodyDiv w:val="1"/>
      <w:marLeft w:val="0"/>
      <w:marRight w:val="0"/>
      <w:marTop w:val="0"/>
      <w:marBottom w:val="0"/>
      <w:divBdr>
        <w:top w:val="none" w:sz="0" w:space="0" w:color="auto"/>
        <w:left w:val="none" w:sz="0" w:space="0" w:color="auto"/>
        <w:bottom w:val="none" w:sz="0" w:space="0" w:color="auto"/>
        <w:right w:val="none" w:sz="0" w:space="0" w:color="auto"/>
      </w:divBdr>
    </w:div>
    <w:div w:id="1859543858">
      <w:bodyDiv w:val="1"/>
      <w:marLeft w:val="0"/>
      <w:marRight w:val="0"/>
      <w:marTop w:val="0"/>
      <w:marBottom w:val="0"/>
      <w:divBdr>
        <w:top w:val="none" w:sz="0" w:space="0" w:color="auto"/>
        <w:left w:val="none" w:sz="0" w:space="0" w:color="auto"/>
        <w:bottom w:val="none" w:sz="0" w:space="0" w:color="auto"/>
        <w:right w:val="none" w:sz="0" w:space="0" w:color="auto"/>
      </w:divBdr>
    </w:div>
    <w:div w:id="202501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4931</TotalTime>
  <Pages>2</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23</cp:revision>
  <dcterms:created xsi:type="dcterms:W3CDTF">2025-04-02T14:00:00Z</dcterms:created>
  <dcterms:modified xsi:type="dcterms:W3CDTF">2025-04-08T23:39:00Z</dcterms:modified>
</cp:coreProperties>
</file>