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0" w:name="backend-architecture-v2.1"/>
    <w:p>
      <w:pPr>
        <w:pStyle w:val="Heading1"/>
      </w:pPr>
      <w:r>
        <w:t xml:space="preserve">Backend Architecture v2.1</w:t>
      </w:r>
    </w:p>
    <w:bookmarkStart w:id="20" w:name="Xfb663aba768ac9db0a58d7bb683838f6dca0d91"/>
    <w:p>
      <w:pPr>
        <w:pStyle w:val="Heading2"/>
      </w:pPr>
      <w:r>
        <w:t xml:space="preserve">Supply-Side Rails for Legal Service Delivery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Finalization candidate for implementation handoff</w:t>
      </w:r>
      <w:r>
        <w:t xml:space="preserve"> </w:t>
      </w:r>
      <w:r>
        <w:rPr>
          <w:b/>
          <w:bCs/>
        </w:rPr>
        <w:t xml:space="preserve">Working name:</w:t>
      </w:r>
      <w:r>
        <w:t xml:space="preserve"> </w:t>
      </w:r>
      <w:r>
        <w:rPr>
          <w:b/>
          <w:bCs/>
        </w:rPr>
        <w:t xml:space="preserve">TBD before submission.</w:t>
      </w:r>
      <w:r>
        <w:t xml:space="preserve"> </w:t>
      </w:r>
      <w:r>
        <w:t xml:space="preserve">Do not use</w:t>
      </w:r>
      <w:r>
        <w:t xml:space="preserve"> </w:t>
      </w:r>
      <w:r>
        <w:rPr>
          <w:rStyle w:val="VerbatimChar"/>
        </w:rPr>
        <w:t xml:space="preserve">NyayaSetu</w:t>
      </w:r>
      <w:r>
        <w:t xml:space="preserve">: the Department of Justice now operates a public-facing Nyaya Setu AI legal assistant, unveiled on 31 Mar 2026 at the DISHA programme. Keep repository/package names neutral until the product name is locked.</w:t>
      </w:r>
    </w:p>
    <w:p>
      <w:r>
        <w:pict>
          <v:rect style="width:0;height:1.5pt" o:hralign="center" o:hrstd="t" o:hr="t"/>
        </w:pict>
      </w:r>
    </w:p>
    <w:bookmarkEnd w:id="20"/>
    <w:bookmarkStart w:id="24" w:name="design-thesis"/>
    <w:p>
      <w:pPr>
        <w:pStyle w:val="Heading2"/>
      </w:pPr>
      <w:r>
        <w:t xml:space="preserve">0. Design thesis</w:t>
      </w:r>
    </w:p>
    <w:p>
      <w:pPr>
        <w:pStyle w:val="FirstParagraph"/>
      </w:pPr>
      <w:r>
        <w:t xml:space="preserve">v1.0 built a lawyer marketplace: search, rank, book, rate. That answers PS challenge #4 and collides with Rule 36 of the BCI Rules.</w:t>
      </w:r>
    </w:p>
    <w:p>
      <w:pPr>
        <w:pStyle w:val="BodyText"/>
      </w:pPr>
      <w:r>
        <w:t xml:space="preserve">v2.1 preserves the three-rail thesis from v2.0 and hardens external integrations, payment boundaries, incentive semantics, and implementation fallbacks: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credential rail</w:t>
      </w:r>
      <w:r>
        <w:t xml:space="preserve"> </w:t>
      </w:r>
      <w:r>
        <w:t xml:space="preserve">— portable, issuer-verified professional identity for five provider types.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incentive rail</w:t>
      </w:r>
      <w:r>
        <w:t xml:space="preserve"> </w:t>
      </w:r>
      <w:r>
        <w:t xml:space="preserve">— a service-credit ledger that converts pro bono and underserved-area work into institutional recognition and panel eligibility.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accountability rail</w:t>
      </w:r>
      <w:r>
        <w:t xml:space="preserve"> </w:t>
      </w:r>
      <w:r>
        <w:t xml:space="preserve">— conduct signals and a grievance pipeline wired to statutory disciplinary bodies, with zero public rating of individuals.</w:t>
      </w:r>
    </w:p>
    <w:p>
      <w:pPr>
        <w:pStyle w:val="FirstParagraph"/>
      </w:pPr>
      <w:r>
        <w:t xml:space="preserve">Everything else in the system exists to feed those three.</w:t>
      </w:r>
    </w:p>
    <w:bookmarkStart w:id="21" w:name="v2.1-hardening-decisions"/>
    <w:p>
      <w:pPr>
        <w:pStyle w:val="Heading3"/>
      </w:pPr>
      <w:r>
        <w:t xml:space="preserve">v2.1 hardening decisions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NyayaSetu</w:t>
      </w:r>
      <w:r>
        <w:t xml:space="preserve"> </w:t>
      </w:r>
      <w:r>
        <w:t xml:space="preserve">is retired as the submission name; repository code stays product-name-neutral until naming is finalized.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External integrations:</w:t>
      </w:r>
      <w:r>
        <w:t xml:space="preserve"> </w:t>
      </w:r>
      <w:r>
        <w:t xml:space="preserve">DigiLocker, Bar Council/AIBE, eCourts, messaging, and institutional exports are adapter-based and capability-flagged.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Payments:</w:t>
      </w:r>
      <w:r>
        <w:t xml:space="preserve"> </w:t>
      </w:r>
      <w:r>
        <w:t xml:space="preserve">the platform orchestrates an authorized payment provider; it does not self-custody funds or implement its own escrow.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Incentives:</w:t>
      </w:r>
      <w:r>
        <w:t xml:space="preserve"> </w:t>
      </w:r>
      <w:r>
        <w:t xml:space="preserve">credits create evidence/records for institutional use; they never buy directory position, allocation priority, payment priority, or an official credential the platform is not empowered to grant.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Ledger:</w:t>
      </w:r>
      <w:r>
        <w:t xml:space="preserve"> </w:t>
      </w:r>
      <w:r>
        <w:t xml:space="preserve">hash-chain writes are transactional and append-only; no cross-row generated-column claim.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Demo honesty:</w:t>
      </w:r>
      <w:r>
        <w:t xml:space="preserve"> </w:t>
      </w:r>
      <w:r>
        <w:t xml:space="preserve">mocks are allowed for unavailable integrations but are structurally labelled and can never produce a production-grade official verification outcome.</w:t>
      </w:r>
    </w:p>
    <w:bookmarkEnd w:id="21"/>
    <w:bookmarkStart w:id="22" w:name="what-is-deliberately-deleted-from-v1.0"/>
    <w:p>
      <w:pPr>
        <w:pStyle w:val="Heading3"/>
      </w:pPr>
      <w:r>
        <w:t xml:space="preserve">What is deliberately deleted from v1.0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ranking engine (§9.3)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Algorithmic channelling of clients toward specific lawyers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 ratings / reputation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rating of advocates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Win-ratio rewards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Unmeasurable; incentivises refusing hard and poor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portfolio, case victories, blog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in BCI’s 2025 directives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narrative storage, engagement updates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 exposure; status can be referenced by CNR and obtained through a case-status adapter or external eCourts user flow where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Deters the population the PS targets</w:t>
            </w:r>
          </w:p>
        </w:tc>
      </w:tr>
    </w:tbl>
    <w:bookmarkEnd w:id="22"/>
    <w:bookmarkStart w:id="23" w:name="what-is-carried-forward"/>
    <w:p>
      <w:pPr>
        <w:pStyle w:val="Heading3"/>
      </w:pPr>
      <w:r>
        <w:t xml:space="preserve">What is carried forward</w:t>
      </w:r>
    </w:p>
    <w:p>
      <w:pPr>
        <w:pStyle w:val="FirstParagraph"/>
      </w:pPr>
      <w:r>
        <w:t xml:space="preserve">Role-based verification conditions, the three-tier trust model, temporary-file/no-retention processing, deterministic-over-LLM discipline, append-only audit. These were the strong parts of v1.0.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ystem-context"/>
    <w:p>
      <w:pPr>
        <w:pStyle w:val="Heading2"/>
      </w:pPr>
      <w:r>
        <w:t xml:space="preserve">1. System context</w:t>
      </w:r>
    </w:p>
    <w:p>
      <w:pPr>
        <w:pStyle w:val="SourceCode"/>
      </w:pPr>
      <w:r>
        <w:rPr>
          <w:rStyle w:val="VerbatimChar"/>
        </w:rPr>
        <w:t xml:space="preserve">Citizen (app / IVR) --------------------+</w:t>
      </w:r>
      <w:r>
        <w:br/>
      </w:r>
      <w:r>
        <w:rPr>
          <w:rStyle w:val="VerbatimChar"/>
        </w:rPr>
        <w:t xml:space="preserve">CSC / VLE (assisted mode) --------------+</w:t>
      </w:r>
      <w:r>
        <w:br/>
      </w:r>
      <w:r>
        <w:rPr>
          <w:rStyle w:val="VerbatimChar"/>
        </w:rPr>
        <w:t xml:space="preserve">Provider -------------------------------+--&gt; PLATFORM BACKEND</w:t>
      </w:r>
      <w:r>
        <w:br/>
      </w:r>
      <w:r>
        <w:rPr>
          <w:rStyle w:val="VerbatimChar"/>
        </w:rPr>
        <w:t xml:space="preserve">DLSA / BCI (institutional) -------------+      |</w:t>
      </w:r>
      <w:r>
        <w:br/>
      </w:r>
      <w:r>
        <w:rPr>
          <w:rStyle w:val="VerbatimChar"/>
        </w:rPr>
        <w:t xml:space="preserve">                                               +-- Credential rail</w:t>
      </w:r>
      <w:r>
        <w:br/>
      </w:r>
      <w:r>
        <w:rPr>
          <w:rStyle w:val="VerbatimChar"/>
        </w:rPr>
        <w:t xml:space="preserve">                                               +-- Allocation / access rail</w:t>
      </w:r>
      <w:r>
        <w:br/>
      </w:r>
      <w:r>
        <w:rPr>
          <w:rStyle w:val="VerbatimChar"/>
        </w:rPr>
        <w:t xml:space="preserve">                                               +-- Incentive rail</w:t>
      </w:r>
      <w:r>
        <w:br/>
      </w:r>
      <w:r>
        <w:rPr>
          <w:rStyle w:val="VerbatimChar"/>
        </w:rPr>
        <w:t xml:space="preserve">                                               +-- Accountability rail</w:t>
      </w:r>
      <w:r>
        <w:br/>
      </w:r>
      <w:r>
        <w:rPr>
          <w:rStyle w:val="VerbatimChar"/>
        </w:rPr>
        <w:t xml:space="preserve">                                               |</w:t>
      </w:r>
      <w:r>
        <w:br/>
      </w:r>
      <w:r>
        <w:rPr>
          <w:rStyle w:val="VerbatimChar"/>
        </w:rPr>
        <w:t xml:space="preserve">External integrations &lt;------------------------+</w:t>
      </w:r>
      <w:r>
        <w:br/>
      </w:r>
      <w:r>
        <w:rPr>
          <w:rStyle w:val="VerbatimChar"/>
        </w:rPr>
        <w:t xml:space="preserve">  - Credential sources (DigiLocker when available)</w:t>
      </w:r>
      <w:r>
        <w:br/>
      </w:r>
      <w:r>
        <w:rPr>
          <w:rStyle w:val="VerbatimChar"/>
        </w:rPr>
        <w:t xml:space="preserve">  - State Bar Council / AIBE</w:t>
      </w:r>
      <w:r>
        <w:br/>
      </w:r>
      <w:r>
        <w:rPr>
          <w:rStyle w:val="VerbatimChar"/>
        </w:rPr>
        <w:t xml:space="preserve">  - Notary and mediation registries</w:t>
      </w:r>
      <w:r>
        <w:br/>
      </w:r>
      <w:r>
        <w:rPr>
          <w:rStyle w:val="VerbatimChar"/>
        </w:rPr>
        <w:t xml:space="preserve">  - Case-status adapter / eCourts fallback</w:t>
      </w:r>
      <w:r>
        <w:br/>
      </w:r>
      <w:r>
        <w:rPr>
          <w:rStyle w:val="VerbatimChar"/>
        </w:rPr>
        <w:t xml:space="preserve">  - Tele-Law / Nyaya Bandhu referral</w:t>
      </w:r>
      <w:r>
        <w:br/>
      </w:r>
      <w:r>
        <w:rPr>
          <w:rStyle w:val="VerbatimChar"/>
        </w:rPr>
        <w:t xml:space="preserve">  - DLSA / HC pro bono panel export</w:t>
      </w:r>
      <w:r>
        <w:br/>
      </w:r>
      <w:r>
        <w:rPr>
          <w:rStyle w:val="VerbatimChar"/>
        </w:rPr>
        <w:t xml:space="preserve">  - Licensed payment provider / gateway</w:t>
      </w:r>
      <w:r>
        <w:br/>
      </w:r>
      <w:r>
        <w:rPr>
          <w:rStyle w:val="VerbatimChar"/>
        </w:rPr>
        <w:t xml:space="preserve">  - SMS / IVR / WhatsApp</w:t>
      </w:r>
    </w:p>
    <w:p>
      <w:pPr>
        <w:pStyle w:val="FirstParagraph"/>
      </w:pPr>
      <w:r>
        <w:t xml:space="preserve">Three human actor classes, not two: the</w:t>
      </w:r>
      <w:r>
        <w:t xml:space="preserve"> </w:t>
      </w:r>
      <w:r>
        <w:rPr>
          <w:b/>
          <w:bCs/>
        </w:rPr>
        <w:t xml:space="preserve">assisted-mode operator</w:t>
      </w:r>
      <w:r>
        <w:t xml:space="preserve"> </w:t>
      </w:r>
      <w:r>
        <w:t xml:space="preserve">(CSC/VLE) is a first-class actor who acts on behalf of a citizen who has no smartphone. v1.0 had no concept of this and it is the whole of PS challenge #5.</w:t>
      </w:r>
    </w:p>
    <w:p>
      <w:r>
        <w:pict>
          <v:rect style="width:0;height:1.5pt" o:hralign="center" o:hrstd="t" o:hr="t"/>
        </w:pict>
      </w:r>
    </w:p>
    <w:bookmarkEnd w:id="25"/>
    <w:bookmarkStart w:id="26" w:name="module-map"/>
    <w:p>
      <w:pPr>
        <w:pStyle w:val="Heading2"/>
      </w:pPr>
      <w:r>
        <w:t xml:space="preserve">2. Module map</w:t>
      </w:r>
    </w:p>
    <w:p>
      <w:pPr>
        <w:pStyle w:val="SourceCode"/>
      </w:pPr>
      <w:r>
        <w:rPr>
          <w:rStyle w:val="VerbatimChar"/>
        </w:rPr>
        <w:t xml:space="preserve">api/</w:t>
      </w:r>
      <w:r>
        <w:br/>
      </w:r>
      <w:r>
        <w:rPr>
          <w:rStyle w:val="VerbatimChar"/>
        </w:rPr>
        <w:t xml:space="preserve">  public/          citizen + assisted-mode surface</w:t>
      </w:r>
      <w:r>
        <w:br/>
      </w:r>
      <w:r>
        <w:rPr>
          <w:rStyle w:val="VerbatimChar"/>
        </w:rPr>
        <w:t xml:space="preserve">  provider/        provider surface</w:t>
      </w:r>
      <w:r>
        <w:br/>
      </w:r>
      <w:r>
        <w:rPr>
          <w:rStyle w:val="VerbatimChar"/>
        </w:rPr>
        <w:t xml:space="preserve">  institutional/   DLSA, bar council, DoJ surface (scoped, read-mostly)</w:t>
      </w:r>
      <w:r>
        <w:br/>
      </w:r>
      <w:r>
        <w:rPr>
          <w:rStyle w:val="VerbatimChar"/>
        </w:rPr>
        <w:t xml:space="preserve">  admin/</w:t>
      </w:r>
      <w:r>
        <w:br/>
      </w:r>
      <w:r>
        <w:br/>
      </w: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  identity/          auth, roles, delegated (operator-on-behalf) sessions</w:t>
      </w:r>
      <w:r>
        <w:br/>
      </w:r>
      <w:r>
        <w:rPr>
          <w:rStyle w:val="VerbatimChar"/>
        </w:rPr>
        <w:t xml:space="preserve">  credential/        verification cases, adapters, tier decisions</w:t>
      </w:r>
      <w:r>
        <w:br/>
      </w:r>
      <w:r>
        <w:rPr>
          <w:rStyle w:val="VerbatimChar"/>
        </w:rPr>
        <w:t xml:space="preserve">  taxonomy/          legal-need taxonomy, means-test rules</w:t>
      </w:r>
      <w:r>
        <w:br/>
      </w:r>
      <w:r>
        <w:rPr>
          <w:rStyle w:val="VerbatimChar"/>
        </w:rPr>
        <w:t xml:space="preserve">  intake/            need capture, classification, PII minimisation</w:t>
      </w:r>
      <w:r>
        <w:br/>
      </w:r>
      <w:r>
        <w:rPr>
          <w:rStyle w:val="VerbatimChar"/>
        </w:rPr>
        <w:t xml:space="preserve">  eligibility/       Section 12 LSA routing decision</w:t>
      </w:r>
      <w:r>
        <w:br/>
      </w:r>
      <w:r>
        <w:rPr>
          <w:rStyle w:val="VerbatimChar"/>
        </w:rPr>
        <w:t xml:space="preserve">  allocation/        directory mode + rotation mode</w:t>
      </w:r>
      <w:r>
        <w:br/>
      </w:r>
      <w:r>
        <w:rPr>
          <w:rStyle w:val="VerbatimChar"/>
        </w:rPr>
        <w:t xml:space="preserve">  scheduling/        availability, slots, atomic reservation</w:t>
      </w:r>
      <w:r>
        <w:br/>
      </w:r>
      <w:r>
        <w:rPr>
          <w:rStyle w:val="VerbatimChar"/>
        </w:rPr>
        <w:t xml:space="preserve">  matter/            metadata-only engagement record</w:t>
      </w:r>
      <w:r>
        <w:br/>
      </w:r>
      <w:r>
        <w:rPr>
          <w:rStyle w:val="VerbatimChar"/>
        </w:rPr>
        <w:t xml:space="preserve">  ledger/            service credit accounting (append-only)</w:t>
      </w:r>
      <w:r>
        <w:br/>
      </w:r>
      <w:r>
        <w:rPr>
          <w:rStyle w:val="VerbatimChar"/>
        </w:rPr>
        <w:t xml:space="preserve">  redemption/        certificates, panel eligibility packets</w:t>
      </w:r>
      <w:r>
        <w:br/>
      </w:r>
      <w:r>
        <w:rPr>
          <w:rStyle w:val="VerbatimChar"/>
        </w:rPr>
        <w:t xml:space="preserve">  settlement/        quotes, payment-provider orchestration, offline recording</w:t>
      </w:r>
      <w:r>
        <w:br/>
      </w:r>
      <w:r>
        <w:rPr>
          <w:rStyle w:val="VerbatimChar"/>
        </w:rPr>
        <w:t xml:space="preserve">  conduct/           reliability signals, grievance, disciplinary referral</w:t>
      </w:r>
      <w:r>
        <w:br/>
      </w:r>
      <w:r>
        <w:rPr>
          <w:rStyle w:val="VerbatimChar"/>
        </w:rPr>
        <w:t xml:space="preserve">  interop/           outbound referrals, case-status adapter</w:t>
      </w:r>
      <w:r>
        <w:br/>
      </w:r>
      <w:r>
        <w:rPr>
          <w:rStyle w:val="VerbatimChar"/>
        </w:rPr>
        <w:t xml:space="preserve">  notify/</w:t>
      </w:r>
      <w:r>
        <w:br/>
      </w:r>
      <w:r>
        <w:rPr>
          <w:rStyle w:val="VerbatimChar"/>
        </w:rPr>
        <w:t xml:space="preserve">  audit/</w:t>
      </w:r>
      <w:r>
        <w:br/>
      </w:r>
      <w:r>
        <w:br/>
      </w:r>
      <w:r>
        <w:rPr>
          <w:rStyle w:val="VerbatimChar"/>
        </w:rPr>
        <w:t xml:space="preserve">adapters/</w:t>
      </w:r>
      <w:r>
        <w:br/>
      </w:r>
      <w:r>
        <w:rPr>
          <w:rStyle w:val="VerbatimChar"/>
        </w:rPr>
        <w:t xml:space="preserve">  credential-sources/  bar-council/  aibe/  notary-registry/</w:t>
      </w:r>
      <w:r>
        <w:br/>
      </w:r>
      <w:r>
        <w:rPr>
          <w:rStyle w:val="VerbatimChar"/>
        </w:rPr>
        <w:t xml:space="preserve">  case-status/  telelaw/  nyayabandhu/  payments/  messaging/  llm/</w:t>
      </w:r>
    </w:p>
    <w:p>
      <w:r>
        <w:pict>
          <v:rect style="width:0;height:1.5pt" o:hralign="center" o:hrstd="t" o:hr="t"/>
        </w:pict>
      </w:r>
    </w:p>
    <w:bookmarkEnd w:id="26"/>
    <w:bookmarkStart w:id="27" w:name="storage-decision-postgres-not-mongodb"/>
    <w:p>
      <w:pPr>
        <w:pStyle w:val="Heading2"/>
      </w:pPr>
      <w:r>
        <w:t xml:space="preserve">3. Storage decision: Postgres, not MongoDB</w:t>
      </w:r>
    </w:p>
    <w:p>
      <w:pPr>
        <w:pStyle w:val="FirstParagraph"/>
      </w:pPr>
      <w:r>
        <w:t xml:space="preserve">I’d move off Mongo, and the reason is specific rather than aesthetic. Two subsystems here need guarantees Mongo makes awkward:</w:t>
      </w:r>
    </w:p>
    <w:p>
      <w:pPr>
        <w:pStyle w:val="BodyText"/>
      </w:pPr>
      <w:r>
        <w:rPr>
          <w:b/>
          <w:bCs/>
        </w:rPr>
        <w:t xml:space="preserve">The rotation queue.</w:t>
      </w:r>
      <w:r>
        <w:t xml:space="preserve"> </w:t>
      </w:r>
      <w:r>
        <w:t xml:space="preserve">Assigning the next provider in a duty roster under concurrency is exactly: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provider_id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roster_membership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roster_id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active_matters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capacity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active_matters </w:t>
      </w:r>
      <w:r>
        <w:rPr>
          <w:rStyle w:val="KeywordTok"/>
        </w:rPr>
        <w:t xml:space="preserve">ASC</w:t>
      </w:r>
      <w:r>
        <w:rPr>
          <w:rStyle w:val="NormalTok"/>
        </w:rPr>
        <w:t xml:space="preserve">, last_assigned_at </w:t>
      </w:r>
      <w:r>
        <w:rPr>
          <w:rStyle w:val="KeywordTok"/>
        </w:rPr>
        <w:t xml:space="preserve">ASC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SKIP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LOCKED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SKIP LOCKED</w:t>
      </w:r>
      <w:r>
        <w:t xml:space="preserve"> </w:t>
      </w:r>
      <w:r>
        <w:t xml:space="preserve">is the primitive. Without it you hand-roll optimistic retry loops.</w:t>
      </w:r>
    </w:p>
    <w:p>
      <w:pPr>
        <w:pStyle w:val="BodyText"/>
      </w:pPr>
      <w:r>
        <w:rPr>
          <w:b/>
          <w:bCs/>
        </w:rPr>
        <w:t xml:space="preserve">The ledger.</w:t>
      </w:r>
      <w:r>
        <w:t xml:space="preserve"> </w:t>
      </w:r>
      <w:r>
        <w:t xml:space="preserve">Credits must be append-only and tamper-evident, balances must never drift from events, and an institutional consumer (DLSA) may treat the export as a factual record. Use serializable transactions plus an application/database-function hash-chain writer.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use a generated column for the chain: a generated column cannot reference the previous row.</w:t>
      </w:r>
    </w:p>
    <w:p>
      <w:pPr>
        <w:pStyle w:val="BodyText"/>
      </w:pPr>
      <w:r>
        <w:t xml:space="preserve">Slot booking also becomes trivial: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booking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no_double_book</w:t>
      </w:r>
      <w:r>
        <w:br/>
      </w:r>
      <w:r>
        <w:rPr>
          <w:rStyle w:val="NormalTok"/>
        </w:rPr>
        <w:t xml:space="preserve">EXCLUDE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(provider_id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slot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&amp;&amp;)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'HELD'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'CONFIRMED'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That single constraint replaces §11.2 of v1.0 entirely.</w:t>
      </w:r>
    </w:p>
    <w:p>
      <w:pPr>
        <w:pStyle w:val="BodyText"/>
      </w:pPr>
      <w:r>
        <w:t xml:space="preserve">If the team refuses to move, Mongo 4.4+ transactions plus a unique index on</w:t>
      </w:r>
      <w:r>
        <w:t xml:space="preserve"> </w:t>
      </w:r>
      <w:r>
        <w:rPr>
          <w:rStyle w:val="VerbatimChar"/>
        </w:rPr>
        <w:t xml:space="preserve">(providerId, slotStart, activeFlag)</w:t>
      </w:r>
      <w:r>
        <w:t xml:space="preserve"> </w:t>
      </w:r>
      <w:r>
        <w:t xml:space="preserve">will work — but you’ll write the ledger integrity and the queue fairness by hand.</w:t>
      </w:r>
    </w:p>
    <w:p>
      <w:r>
        <w:pict>
          <v:rect style="width:0;height:1.5pt" o:hralign="center" o:hrstd="t" o:hr="t"/>
        </w:pict>
      </w:r>
    </w:p>
    <w:bookmarkEnd w:id="27"/>
    <w:bookmarkStart w:id="28" w:name="core-schema"/>
    <w:p>
      <w:pPr>
        <w:pStyle w:val="Heading2"/>
      </w:pPr>
      <w:r>
        <w:t xml:space="preserve">4. Core schema</w:t>
      </w:r>
    </w:p>
    <w:p>
      <w:pPr>
        <w:pStyle w:val="SourceCode"/>
      </w:pPr>
      <w:r>
        <w:rPr>
          <w:rStyle w:val="CommentTok"/>
        </w:rPr>
        <w:t xml:space="preserve">-- ---------- identity ----------</w:t>
      </w:r>
      <w:r>
        <w:br/>
      </w:r>
      <w:r>
        <w:rPr>
          <w:rStyle w:val="NormalTok"/>
        </w:rPr>
        <w:t xml:space="preserve">user_account(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phone_hash, email, status, created_at)</w:t>
      </w:r>
      <w:r>
        <w:br/>
      </w:r>
      <w:r>
        <w:rPr>
          <w:rStyle w:val="NormalTok"/>
        </w:rPr>
        <w:t xml:space="preserve">role_grant(user_id,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, granted_at)         </w:t>
      </w:r>
      <w:r>
        <w:rPr>
          <w:rStyle w:val="CommentTok"/>
        </w:rPr>
        <w:t xml:space="preserve">-- CITIZEN|PROVIDER|OPERATOR|INSTITUTION|ADMIN</w:t>
      </w:r>
      <w:r>
        <w:br/>
      </w:r>
      <w:r>
        <w:rPr>
          <w:rStyle w:val="NormalTok"/>
        </w:rPr>
        <w:t xml:space="preserve">operator_delegation(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operator_user_id, citizen_user_id,</w:t>
      </w:r>
      <w:r>
        <w:br/>
      </w:r>
      <w:r>
        <w:rPr>
          <w:rStyle w:val="NormalTok"/>
        </w:rPr>
        <w:t xml:space="preserve">                    consent_ref, started_at, ended_at)  </w:t>
      </w:r>
      <w:r>
        <w:rPr>
          <w:rStyle w:val="CommentTok"/>
        </w:rPr>
        <w:t xml:space="preserve">-- assisted mode audit</w:t>
      </w:r>
      <w:r>
        <w:br/>
      </w:r>
      <w:r>
        <w:br/>
      </w:r>
      <w:r>
        <w:rPr>
          <w:rStyle w:val="CommentTok"/>
        </w:rPr>
        <w:t xml:space="preserve">-- ---------- credential ----------</w:t>
      </w:r>
      <w:r>
        <w:br/>
      </w:r>
      <w:r>
        <w:rPr>
          <w:rStyle w:val="NormalTok"/>
        </w:rPr>
        <w:t xml:space="preserve">provider(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user_id, provider_type, display_name, district, state,</w:t>
      </w:r>
      <w:r>
        <w:br/>
      </w:r>
      <w:r>
        <w:rPr>
          <w:rStyle w:val="NormalTok"/>
        </w:rPr>
        <w:t xml:space="preserve">         languages[], service_modes[], status, tier, tier_decided_at)</w:t>
      </w:r>
      <w:r>
        <w:br/>
      </w:r>
      <w:r>
        <w:rPr>
          <w:rStyle w:val="NormalTok"/>
        </w:rPr>
        <w:t xml:space="preserve">provider_service(provider_id, taxonomy_code, fee_min, fee_max, pro_bono_available)</w:t>
      </w:r>
      <w:r>
        <w:br/>
      </w:r>
      <w:r>
        <w:br/>
      </w:r>
      <w:r>
        <w:rPr>
          <w:rStyle w:val="NormalTok"/>
        </w:rPr>
        <w:t xml:space="preserve">verification_case(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provider_id, status, tier_outcome,</w:t>
      </w:r>
      <w:r>
        <w:br/>
      </w:r>
      <w:r>
        <w:rPr>
          <w:rStyle w:val="NormalTok"/>
        </w:rPr>
        <w:t xml:space="preserve">                  submitted_at, decided_at, decided_by)</w:t>
      </w:r>
      <w:r>
        <w:br/>
      </w:r>
      <w:r>
        <w:rPr>
          <w:rStyle w:val="NormalTok"/>
        </w:rPr>
        <w:t xml:space="preserve">verification_check(case_id, check_type, source_id, result,</w:t>
      </w:r>
      <w:r>
        <w:br/>
      </w:r>
      <w:r>
        <w:rPr>
          <w:rStyle w:val="NormalTok"/>
        </w:rPr>
        <w:t xml:space="preserve">                   matched_fields[], source_ref, checked_at)</w:t>
      </w:r>
      <w:r>
        <w:br/>
      </w:r>
      <w:r>
        <w:rPr>
          <w:rStyle w:val="CommentTok"/>
        </w:rPr>
        <w:t xml:space="preserve">-- check_type: IDENTITY | DEGREE | ENROLMENT | PRACTICE_CERT | APPOINTMENT | CURRENCY</w:t>
      </w:r>
      <w:r>
        <w:br/>
      </w:r>
      <w:r>
        <w:rPr>
          <w:rStyle w:val="CommentTok"/>
        </w:rPr>
        <w:t xml:space="preserve">-- result:     PASS | MISMATCH | NOT_FOUND | CONFLICT | UNAVAILABLE</w:t>
      </w:r>
      <w:r>
        <w:br/>
      </w:r>
      <w:r>
        <w:br/>
      </w:r>
      <w:r>
        <w:rPr>
          <w:rStyle w:val="CommentTok"/>
        </w:rPr>
        <w:t xml:space="preserve">-- ---------- intake &amp; routing ----------</w:t>
      </w:r>
      <w:r>
        <w:br/>
      </w:r>
      <w:r>
        <w:rPr>
          <w:rStyle w:val="NormalTok"/>
        </w:rPr>
        <w:t xml:space="preserve">need_request(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citizen_user_id, operator_delegation_id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taxonomy_code, district, language, mode_pref,</w:t>
      </w:r>
      <w:r>
        <w:br/>
      </w:r>
      <w:r>
        <w:rPr>
          <w:rStyle w:val="NormalTok"/>
        </w:rPr>
        <w:t xml:space="preserve">             fee_ceiling, urgency, channel, created_at)</w:t>
      </w:r>
      <w:r>
        <w:br/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narrative text is NEVER a column here</w:t>
      </w:r>
      <w:r>
        <w:br/>
      </w:r>
      <w:r>
        <w:rPr>
          <w:rStyle w:val="NormalTok"/>
        </w:rPr>
        <w:t xml:space="preserve">eligibility_decision(need_request_id, section12_category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self_declared, route, decided_at)</w:t>
      </w:r>
      <w:r>
        <w:br/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-- route: PAID | LEGAL_AID_REFERRAL | PRO_BONO_ROTATION</w:t>
      </w:r>
      <w:r>
        <w:br/>
      </w:r>
      <w:r>
        <w:br/>
      </w:r>
      <w:r>
        <w:rPr>
          <w:rStyle w:val="CommentTok"/>
        </w:rPr>
        <w:t xml:space="preserve">-- ---------- allocation ----------</w:t>
      </w:r>
      <w:r>
        <w:br/>
      </w:r>
      <w:r>
        <w:rPr>
          <w:rStyle w:val="NormalTok"/>
        </w:rPr>
        <w:t xml:space="preserve">roster(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district, taxonomy_code, provider_type,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-- mode: ROTATION</w:t>
      </w:r>
      <w:r>
        <w:br/>
      </w:r>
      <w:r>
        <w:rPr>
          <w:rStyle w:val="NormalTok"/>
        </w:rPr>
        <w:t xml:space="preserve">roster_membership(roster_id, provider_id, status, capacity,</w:t>
      </w:r>
      <w:r>
        <w:br/>
      </w:r>
      <w:r>
        <w:rPr>
          <w:rStyle w:val="NormalTok"/>
        </w:rPr>
        <w:t xml:space="preserve">                  active_matters, last_assigned_at, joined_at)</w:t>
      </w:r>
      <w:r>
        <w:br/>
      </w:r>
      <w:r>
        <w:rPr>
          <w:rStyle w:val="NormalTok"/>
        </w:rPr>
        <w:t xml:space="preserve">allocation(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need_request_id, provider_id, </w:t>
      </w:r>
      <w:r>
        <w:rPr>
          <w:rStyle w:val="KeywordTok"/>
        </w:rPr>
        <w:t xml:space="preserve">mode</w:t>
      </w:r>
      <w:r>
        <w:rPr>
          <w:rStyle w:val="NormalTok"/>
        </w:rPr>
        <w:t xml:space="preserve">, roster_id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seed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position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decided_at, decided_by)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mode: CITIZEN_CHOICE | ROTATION</w:t>
      </w:r>
      <w:r>
        <w:br/>
      </w:r>
      <w:r>
        <w:rPr>
          <w:rStyle w:val="NormalTok"/>
        </w:rPr>
        <w:t xml:space="preserve">directory_surface(need_request_id, provider_id, position, seed)</w:t>
      </w:r>
      <w:r>
        <w:br/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-- what was shown, in what order, why: full replay for audit</w:t>
      </w:r>
      <w:r>
        <w:br/>
      </w:r>
      <w:r>
        <w:br/>
      </w:r>
      <w:r>
        <w:rPr>
          <w:rStyle w:val="CommentTok"/>
        </w:rPr>
        <w:t xml:space="preserve">-- ---------- matter (metadata only) ----------</w:t>
      </w:r>
      <w:r>
        <w:br/>
      </w:r>
      <w:r>
        <w:rPr>
          <w:rStyle w:val="NormalTok"/>
        </w:rPr>
        <w:t xml:space="preserve">matter(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allocation_id, provider_id, citizen_user_id, status,</w:t>
      </w:r>
      <w:r>
        <w:br/>
      </w:r>
      <w:r>
        <w:rPr>
          <w:rStyle w:val="NormalTok"/>
        </w:rPr>
        <w:t xml:space="preserve">       opened_at, closed_at, close_reason, cnr_number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no documents, no notes, no narrative. cnr_number is an external case-status pointer; no API availability is assumed.</w:t>
      </w:r>
      <w:r>
        <w:br/>
      </w:r>
      <w:r>
        <w:br/>
      </w:r>
      <w:r>
        <w:rPr>
          <w:rStyle w:val="CommentTok"/>
        </w:rPr>
        <w:t xml:space="preserve">-- ---------- payment orchestration (no platform custody) ----------</w:t>
      </w:r>
      <w:r>
        <w:br/>
      </w:r>
      <w:r>
        <w:rPr>
          <w:rStyle w:val="NormalTok"/>
        </w:rPr>
        <w:t xml:space="preserve">payment_quote(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matter_id, provider_id, amount, currency, fee_breakdown_json,</w:t>
      </w:r>
      <w:r>
        <w:br/>
      </w:r>
      <w:r>
        <w:rPr>
          <w:rStyle w:val="NormalTok"/>
        </w:rPr>
        <w:t xml:space="preserve">              expires_at, created_at)</w:t>
      </w:r>
      <w:r>
        <w:br/>
      </w:r>
      <w:r>
        <w:rPr>
          <w:rStyle w:val="NormalTok"/>
        </w:rPr>
        <w:t xml:space="preserve">payment_intent(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matter_id, payment_provider, provider_intent_ref, amount,</w:t>
      </w:r>
      <w:r>
        <w:br/>
      </w:r>
      <w:r>
        <w:rPr>
          <w:rStyle w:val="NormalTok"/>
        </w:rPr>
        <w:t xml:space="preserve">               status, created_at, updated_at)</w:t>
      </w:r>
      <w:r>
        <w:br/>
      </w:r>
      <w:r>
        <w:rPr>
          <w:rStyle w:val="NormalTok"/>
        </w:rPr>
        <w:t xml:space="preserve">payment_webhook_event(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payment_provider, external_event_id, signature_valid,</w:t>
      </w:r>
      <w:r>
        <w:br/>
      </w:r>
      <w:r>
        <w:rPr>
          <w:rStyle w:val="NormalTok"/>
        </w:rPr>
        <w:t xml:space="preserve">                      payload_hash, received_at, processed_at)</w:t>
      </w:r>
      <w:r>
        <w:br/>
      </w:r>
      <w:r>
        <w:rPr>
          <w:rStyle w:val="NormalTok"/>
        </w:rPr>
        <w:t xml:space="preserve">settlement_record(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payment_intent_id, external_settlement_ref, status,</w:t>
      </w:r>
      <w:r>
        <w:br/>
      </w:r>
      <w:r>
        <w:rPr>
          <w:rStyle w:val="NormalTok"/>
        </w:rPr>
        <w:t xml:space="preserve">                  settled_at, failure_code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-- money movement occurs at the authorized PSP; these tables store references/state only.</w:t>
      </w:r>
      <w:r>
        <w:br/>
      </w:r>
      <w:r>
        <w:br/>
      </w:r>
      <w:r>
        <w:rPr>
          <w:rStyle w:val="CommentTok"/>
        </w:rPr>
        <w:t xml:space="preserve">-- ---------- ledger ----------</w:t>
      </w:r>
      <w:r>
        <w:br/>
      </w:r>
      <w:r>
        <w:rPr>
          <w:rStyle w:val="NormalTok"/>
        </w:rPr>
        <w:t xml:space="preserve">credit_event(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BIGSERIAL, provider_id, event_type, units, weight_version,</w:t>
      </w:r>
      <w:r>
        <w:br/>
      </w:r>
      <w:r>
        <w:rPr>
          <w:rStyle w:val="NormalTok"/>
        </w:rPr>
        <w:t xml:space="preserve">             credits, matter_id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evidence_ref, occurred_at,</w:t>
      </w:r>
      <w:r>
        <w:br/>
      </w:r>
      <w:r>
        <w:rPr>
          <w:rStyle w:val="NormalTok"/>
        </w:rPr>
        <w:t xml:space="preserve">             prev_hash,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-- hash chain, append-only, no UPDATE grant</w:t>
      </w:r>
      <w:r>
        <w:br/>
      </w:r>
      <w:r>
        <w:rPr>
          <w:rStyle w:val="NormalTok"/>
        </w:rPr>
        <w:t xml:space="preserve">credit_balance(provider_id, total_credits, period_credits, last_event_id)</w:t>
      </w:r>
      <w:r>
        <w:br/>
      </w:r>
      <w:r>
        <w:rPr>
          <w:rStyle w:val="NormalTok"/>
        </w:rPr>
        <w:t xml:space="preserve">redemption(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provider_id, kind, credits_spent, artefact_ref, issued_at)</w:t>
      </w:r>
      <w:r>
        <w:br/>
      </w:r>
      <w:r>
        <w:br/>
      </w:r>
      <w:r>
        <w:rPr>
          <w:rStyle w:val="CommentTok"/>
        </w:rPr>
        <w:t xml:space="preserve">-- ---------- accountability ----------</w:t>
      </w:r>
      <w:r>
        <w:br/>
      </w:r>
      <w:r>
        <w:rPr>
          <w:rStyle w:val="NormalTok"/>
        </w:rPr>
        <w:t xml:space="preserve">conduct_signal(provider_id, matter_id, signal_type, 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, recorded_at)</w:t>
      </w:r>
      <w:r>
        <w:br/>
      </w:r>
      <w:r>
        <w:rPr>
          <w:rStyle w:val="CommentTok"/>
        </w:rPr>
        <w:t xml:space="preserve">-- FIRST_RESPONSE_MINUTES | NO_SHOW | FEE_DISCLOSED_UPFRONT</w:t>
      </w:r>
      <w:r>
        <w:br/>
      </w:r>
      <w:r>
        <w:rPr>
          <w:rStyle w:val="CommentTok"/>
        </w:rPr>
        <w:t xml:space="preserve">-- | QUOTE_HONOURED | UNILATERAL_WITHDRAWAL</w:t>
      </w:r>
      <w:r>
        <w:br/>
      </w:r>
      <w:r>
        <w:rPr>
          <w:rStyle w:val="NormalTok"/>
        </w:rPr>
        <w:t xml:space="preserve">grievance(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complainant_user_id, subject_provider_id,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status, opened_at, resolved_at)</w:t>
      </w:r>
      <w:r>
        <w:br/>
      </w:r>
      <w:r>
        <w:rPr>
          <w:rStyle w:val="NormalTok"/>
        </w:rPr>
        <w:t xml:space="preserve">disciplinary_referral(grievance_id, bar_council_code, referred_at,</w:t>
      </w:r>
      <w:r>
        <w:br/>
      </w:r>
      <w:r>
        <w:rPr>
          <w:rStyle w:val="NormalTok"/>
        </w:rPr>
        <w:t xml:space="preserve">                      external_ref, outcome)</w:t>
      </w:r>
      <w:r>
        <w:br/>
      </w:r>
      <w:r>
        <w:br/>
      </w:r>
      <w:r>
        <w:rPr>
          <w:rStyle w:val="NormalTok"/>
        </w:rPr>
        <w:t xml:space="preserve">audit_event(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actor_type, actor_id, action, entity_type, entity_id,</w:t>
      </w:r>
      <w:r>
        <w:br/>
      </w:r>
      <w:r>
        <w:rPr>
          <w:rStyle w:val="NormalTok"/>
        </w:rPr>
        <w:t xml:space="preserve">            before_summary, after_summary, reason_code, request_id, </w:t>
      </w:r>
      <w:r>
        <w:rPr>
          <w:rStyle w:val="KeywordTok"/>
        </w:rPr>
        <w:t xml:space="preserve">at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Note what has no table: rating, score, rank, portfolio, case document, engagement update, win record, client-funds wallet. Payment tables hold external provider references and state only.</w:t>
      </w:r>
    </w:p>
    <w:p>
      <w:r>
        <w:pict>
          <v:rect style="width:0;height:1.5pt" o:hralign="center" o:hrstd="t" o:hr="t"/>
        </w:pict>
      </w:r>
    </w:p>
    <w:bookmarkEnd w:id="28"/>
    <w:bookmarkStart w:id="33" w:name="credential-subsystem"/>
    <w:p>
      <w:pPr>
        <w:pStyle w:val="Heading2"/>
      </w:pPr>
      <w:r>
        <w:t xml:space="preserve">5. Credential subsystem</w:t>
      </w:r>
    </w:p>
    <w:bookmarkStart w:id="29" w:name="evidence-sources-in-priority-order"/>
    <w:p>
      <w:pPr>
        <w:pStyle w:val="Heading3"/>
      </w:pPr>
      <w:r>
        <w:t xml:space="preserve">5.1 Evidence sources, in priority order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Issuer-attested government ID through an approved requester integration when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OTP-verified phone + name consistency; manual review where identity proof is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Law degree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Issuer-attested university document through an approved requester integration when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Uploaded certificate → temporary processing → delete after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Enrolment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 Bar Council / authoritative roll lookup when technically and institutionally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Enrolment certificate → temporary processing + historical/secondary record match +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Right to practise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AIBE / Certificate of Practice source when accessible through an authorized or public verification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evidence + review; never infer from enrolment-number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authoritative Bar Council status check within freshness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queue; source unavailability caps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Notary appointment register, validity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Appointment certificate → temp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Court-annexed centre / MCPC empanelment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certificate → temp processing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Issuer-attested credentials are the preferred path, not a guaranteed dependency.</w:t>
      </w:r>
      <w:r>
        <w:t xml:space="preserve"> </w:t>
      </w:r>
      <w:r>
        <w:t xml:space="preserve">DigiLocker can be used only when the platform is onboarded as an approved requester and the relevant issuer/document type is actually available. When that capability is absent, the same</w:t>
      </w:r>
      <w:r>
        <w:t xml:space="preserve"> </w:t>
      </w:r>
      <w:r>
        <w:rPr>
          <w:rStyle w:val="VerbatimChar"/>
        </w:rPr>
        <w:t xml:space="preserve">CredentialSource</w:t>
      </w:r>
      <w:r>
        <w:t xml:space="preserve"> </w:t>
      </w:r>
      <w:r>
        <w:t xml:space="preserve">contract falls back to authority lookup, temporary upload, or manual review. The MVP must therefore be runnable with a mix of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adapters without changing business rules.</w:t>
      </w:r>
    </w:p>
    <w:bookmarkEnd w:id="29"/>
    <w:bookmarkStart w:id="30" w:name="tier-rules"/>
    <w:p>
      <w:pPr>
        <w:pStyle w:val="Heading3"/>
      </w:pPr>
      <w:r>
        <w:t xml:space="preserve">5.2 Tier rules</w:t>
      </w:r>
    </w:p>
    <w:p>
      <w:pPr>
        <w:pStyle w:val="SourceCode"/>
      </w:pPr>
      <w:r>
        <w:rPr>
          <w:rStyle w:val="VerbatimChar"/>
        </w:rPr>
        <w:t xml:space="preserve">SELF_DECLARED     profile complete; no issuer-attested credential</w:t>
      </w:r>
      <w:r>
        <w:br/>
      </w:r>
      <w:r>
        <w:rPr>
          <w:rStyle w:val="VerbatimChar"/>
        </w:rPr>
        <w:t xml:space="preserve">DOCUMENT_VERIFIED issuer-attested OR validated document evidence for the</w:t>
      </w:r>
      <w:r>
        <w:br/>
      </w:r>
      <w:r>
        <w:rPr>
          <w:rStyle w:val="VerbatimChar"/>
        </w:rPr>
        <w:t xml:space="preserve">                  role's required legs; identity consistent</w:t>
      </w:r>
      <w:r>
        <w:br/>
      </w:r>
      <w:r>
        <w:rPr>
          <w:rStyle w:val="VerbatimChar"/>
        </w:rPr>
        <w:t xml:space="preserve">FULLY_VERIFIED    DOCUMENT_VERIFIED + currency confirmed against the</w:t>
      </w:r>
      <w:r>
        <w:br/>
      </w:r>
      <w:r>
        <w:rPr>
          <w:rStyle w:val="VerbatimChar"/>
        </w:rPr>
        <w:t xml:space="preserve">                  authoritative register within the freshness window</w:t>
      </w:r>
    </w:p>
    <w:p>
      <w:pPr>
        <w:pStyle w:val="FirstParagraph"/>
      </w:pPr>
      <w:r>
        <w:t xml:space="preserve">Two hard rules, both testable:</w:t>
      </w:r>
      <w:r>
        <w:t xml:space="preserve"> </w:t>
      </w:r>
      <w:r>
        <w:t xml:space="preserve">- A format/pattern check on an enrolment number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contributes to a tier. It is a validation, not a verification. (v1.0’s Excalidraw source awarded FULLY_VERIFIED on</w:t>
      </w:r>
      <w:r>
        <w:t xml:space="preserve"> </w:t>
      </w:r>
      <w:r>
        <w:t xml:space="preserve">“</w:t>
      </w:r>
      <w:r>
        <w:t xml:space="preserve">cross-checked against state Bar pattern</w:t>
      </w:r>
      <w:r>
        <w:t xml:space="preserve">”</w:t>
      </w:r>
      <w:r>
        <w:t xml:space="preserve"> </w:t>
      </w:r>
      <w:r>
        <w:t xml:space="preserve">— a regex.)</w:t>
      </w:r>
      <w:r>
        <w:t xml:space="preserve"> </w:t>
      </w:r>
      <w:r>
        <w:t xml:space="preserve">- The LLM can produce</w:t>
      </w:r>
      <w:r>
        <w:t xml:space="preserve"> </w:t>
      </w:r>
      <w:r>
        <w:rPr>
          <w:rStyle w:val="VerbatimChar"/>
        </w:rPr>
        <w:t xml:space="preserve">REVIEW_REQUIRED</w:t>
      </w:r>
      <w:r>
        <w:t xml:space="preserve">. It cannot produce</w:t>
      </w:r>
      <w:r>
        <w:t xml:space="preserve"> </w:t>
      </w:r>
      <w:r>
        <w:rPr>
          <w:rStyle w:val="VerbatimChar"/>
        </w:rPr>
        <w:t xml:space="preserve">FULLY_VERIFIED</w:t>
      </w:r>
      <w:r>
        <w:t xml:space="preserve">.</w:t>
      </w:r>
    </w:p>
    <w:p>
      <w:pPr>
        <w:pStyle w:val="BodyText"/>
      </w:pPr>
      <w:r>
        <w:t xml:space="preserve">Tiers expire.</w:t>
      </w:r>
      <w:r>
        <w:t xml:space="preserve"> </w:t>
      </w:r>
      <w:r>
        <w:rPr>
          <w:rStyle w:val="VerbatimChar"/>
        </w:rPr>
        <w:t xml:space="preserve">tier_decided_at + freshness_window</w:t>
      </w:r>
      <w:r>
        <w:t xml:space="preserve"> </w:t>
      </w:r>
      <w:r>
        <w:t xml:space="preserve">drives a</w:t>
      </w:r>
      <w:r>
        <w:t xml:space="preserve"> </w:t>
      </w:r>
      <w:r>
        <w:rPr>
          <w:rStyle w:val="VerbatimChar"/>
        </w:rPr>
        <w:t xml:space="preserve">provider.reverification.due</w:t>
      </w:r>
      <w:r>
        <w:t xml:space="preserve"> </w:t>
      </w:r>
      <w:r>
        <w:t xml:space="preserve">job. A stale FULLY_VERIFIED degrades to DOCUMENT_VERIFIED automatically rather than silently persisting.</w:t>
      </w:r>
    </w:p>
    <w:bookmarkEnd w:id="30"/>
    <w:bookmarkStart w:id="31" w:name="adapter-contract"/>
    <w:p>
      <w:pPr>
        <w:pStyle w:val="Heading3"/>
      </w:pPr>
      <w:r>
        <w:t xml:space="preserve">5.3 Adapter contract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CredentialSource {</w:t>
      </w:r>
      <w:r>
        <w:br/>
      </w:r>
      <w:r>
        <w:rPr>
          <w:rStyle w:val="NormalTok"/>
        </w:rPr>
        <w:t xml:space="preserve">  sourceId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legs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CheckType[]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supports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ProviderType)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(input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CredentialQuery)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'MISMATCH'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'NOT_FOUND'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'CONFLICT'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'UNAVAILABLE'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matchedFields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sourceRef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validUntil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checkedAt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UNAVAILABLE</w:t>
      </w:r>
      <w:r>
        <w:t xml:space="preserve"> </w:t>
      </w:r>
      <w:r>
        <w:t xml:space="preserve">must never silently become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 Source downtime caps the achievable tier; it does not grant one.</w:t>
      </w:r>
    </w:p>
    <w:bookmarkEnd w:id="31"/>
    <w:bookmarkStart w:id="32" w:name="credential-capability-policy"/>
    <w:p>
      <w:pPr>
        <w:pStyle w:val="Heading3"/>
      </w:pPr>
      <w:r>
        <w:t xml:space="preserve">5.4 Credential capability policy</w:t>
      </w:r>
    </w:p>
    <w:p>
      <w:pPr>
        <w:pStyle w:val="FirstParagraph"/>
      </w:pPr>
      <w:r>
        <w:t xml:space="preserve">Every external credential adapter advertises one of three runtime modes:</w:t>
      </w:r>
    </w:p>
    <w:p>
      <w:pPr>
        <w:pStyle w:val="SourceCode"/>
      </w:pPr>
      <w:r>
        <w:rPr>
          <w:rStyle w:val="VerbatimChar"/>
        </w:rPr>
        <w:t xml:space="preserve">LIVE  -&gt; real authorized/public source; result may contribute to a tier</w:t>
      </w:r>
      <w:r>
        <w:br/>
      </w:r>
      <w:r>
        <w:rPr>
          <w:rStyle w:val="VerbatimChar"/>
        </w:rPr>
        <w:t xml:space="preserve">MOCK  -&gt; synthetic fixture for SIH/demo; result is labelled DEMO_ONLY and cannot by itself produce FULLY_VERIFIED</w:t>
      </w:r>
      <w:r>
        <w:br/>
      </w:r>
      <w:r>
        <w:rPr>
          <w:rStyle w:val="VerbatimChar"/>
        </w:rPr>
        <w:t xml:space="preserve">OFF   -&gt; capability unavailable; UI/API exposes the limitation and the workflow falls back to another permitted source or review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FULLY_VERIFIED</w:t>
      </w:r>
      <w:r>
        <w:t xml:space="preserve"> </w:t>
      </w:r>
      <w:r>
        <w:t xml:space="preserve">outcome therefore requires at least one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current-authority check for the role-specific currency/enrolment leg. Mocked issuer data can demonstrate the flow but never masquerades as a government verification.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allocation-subsystem-the-rule-36-core"/>
    <w:p>
      <w:pPr>
        <w:pStyle w:val="Heading2"/>
      </w:pPr>
      <w:r>
        <w:t xml:space="preserve">6. Allocation subsystem — the Rule 36 core</w:t>
      </w:r>
    </w:p>
    <w:p>
      <w:pPr>
        <w:pStyle w:val="FirstParagraph"/>
      </w:pPr>
      <w:r>
        <w:t xml:space="preserve">No scoring. Two modes, both deterministic, both replayable.</w:t>
      </w:r>
    </w:p>
    <w:bookmarkStart w:id="34" w:name="mode-a-citizen-choice-directory"/>
    <w:p>
      <w:pPr>
        <w:pStyle w:val="Heading3"/>
      </w:pPr>
      <w:r>
        <w:t xml:space="preserve">Mode A — Citizen-Choice Directory</w:t>
      </w:r>
    </w:p>
    <w:p>
      <w:pPr>
        <w:pStyle w:val="FirstParagraph"/>
      </w:pPr>
      <w:r>
        <w:t xml:space="preserve">Used for paid engagements where the citizen has agency.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Hard filters only.</w:t>
      </w:r>
      <w:r>
        <w:t xml:space="preserve"> </w:t>
      </w:r>
      <w:r>
        <w:t xml:space="preserve">Provider type, taxonomy code, district, language, service mode, fee ceiling, minimum tier. Boolean set membership — no weights, no partial credit.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Fair ordering.</w:t>
      </w:r>
      <w:r>
        <w:t xml:space="preserve"> </w:t>
      </w:r>
      <w:r>
        <w:t xml:space="preserve">Result order is a seeded rotation, seed =</w:t>
      </w:r>
      <w:r>
        <w:t xml:space="preserve"> </w:t>
      </w:r>
      <w:r>
        <w:rPr>
          <w:rStyle w:val="VerbatimChar"/>
        </w:rPr>
        <w:t xml:space="preserve">need_request.id</w:t>
      </w:r>
      <w:r>
        <w:t xml:space="preserve">. No provider holds a persistent top position across requests. A</w:t>
      </w:r>
      <w:r>
        <w:t xml:space="preserve"> </w:t>
      </w:r>
      <w:r>
        <w:rPr>
          <w:rStyle w:val="VerbatimChar"/>
        </w:rPr>
        <w:t xml:space="preserve">surfaced_count</w:t>
      </w:r>
      <w:r>
        <w:t xml:space="preserve"> </w:t>
      </w:r>
      <w:r>
        <w:t xml:space="preserve">fairness counter breaks ties toward the least-shown eligible provider.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 comparative language anywhere in the response DTO.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matchScore</w:t>
      </w:r>
      <w:r>
        <w:t xml:space="preserve">, no</w:t>
      </w:r>
      <w:r>
        <w:t xml:space="preserve"> </w:t>
      </w:r>
      <w:r>
        <w:rPr>
          <w:rStyle w:val="VerbatimChar"/>
        </w:rPr>
        <w:t xml:space="preserve">reasons: ["BEST_MATCH"]</w:t>
      </w:r>
      <w:r>
        <w:t xml:space="preserve">, no</w:t>
      </w:r>
      <w:r>
        <w:t xml:space="preserve"> </w:t>
      </w:r>
      <w:r>
        <w:t xml:space="preserve">“</w:t>
      </w:r>
      <w:r>
        <w:t xml:space="preserve">recommended</w:t>
      </w:r>
      <w:r>
        <w:t xml:space="preserve">”</w:t>
      </w:r>
      <w:r>
        <w:t xml:space="preserve">. The response explains the</w:t>
      </w:r>
      <w:r>
        <w:t xml:space="preserve"> </w:t>
      </w:r>
      <w:r>
        <w:rPr>
          <w:i/>
          <w:iCs/>
        </w:rPr>
        <w:t xml:space="preserve">filter</w:t>
      </w:r>
      <w:r>
        <w:t xml:space="preserve">, not the</w:t>
      </w:r>
      <w:r>
        <w:t xml:space="preserve"> </w:t>
      </w:r>
      <w:r>
        <w:rPr>
          <w:i/>
          <w:iCs/>
        </w:rPr>
        <w:t xml:space="preserve">lawyer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"TENANCY_DEPOSIT"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"feeCeiling"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"matchCount"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"providerId"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"tier"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"FULLY_VERIFIED"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"feeRange"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800</w:t>
      </w:r>
      <w:r>
        <w:rPr>
          <w:rStyle w:val="OtherTok"/>
        </w:rPr>
        <w:t xml:space="preserve">,</w:t>
      </w:r>
      <w:r>
        <w:rPr>
          <w:rStyle w:val="DecValTok"/>
        </w:rPr>
        <w:t xml:space="preserve">1500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</w:t>
      </w:r>
      <w:r>
        <w:rPr>
          <w:rStyle w:val="DataTypeTok"/>
        </w:rPr>
        <w:t xml:space="preserve">"languages"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"hi"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"nextSlot"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"ROTATED"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"req_..."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The citizen selects.</w:t>
      </w:r>
      <w:r>
        <w:t xml:space="preserve"> </w:t>
      </w:r>
      <w:r>
        <w:t xml:space="preserve">The platform never selects.</w:t>
      </w:r>
    </w:p>
    <w:p>
      <w:pPr>
        <w:pStyle w:val="FirstParagraph"/>
      </w:pPr>
      <w:r>
        <w:rPr>
          <w:rStyle w:val="VerbatimChar"/>
        </w:rPr>
        <w:t xml:space="preserve">directory_surface</w:t>
      </w:r>
      <w:r>
        <w:t xml:space="preserve"> </w:t>
      </w:r>
      <w:r>
        <w:t xml:space="preserve">persists exactly what was shown and in what order, so any allegation of preferential placement is answerable with a replay rather than an assurance.</w:t>
      </w:r>
    </w:p>
    <w:bookmarkEnd w:id="34"/>
    <w:bookmarkStart w:id="35" w:name="mode-b-rotational-panel-allocation"/>
    <w:p>
      <w:pPr>
        <w:pStyle w:val="Heading3"/>
      </w:pPr>
      <w:r>
        <w:t xml:space="preserve">Mode B — Rotational Panel Allocation</w:t>
      </w:r>
    </w:p>
    <w:p>
      <w:pPr>
        <w:pStyle w:val="FirstParagraph"/>
      </w:pPr>
      <w:r>
        <w:t xml:space="preserve">Used for pro bono, legal-aid-tier, and assisted-mode requests. Modelled on how DLSA panels already assign counsel — duty rotation, not client choice, not merit.</w:t>
      </w:r>
    </w:p>
    <w:p>
      <w:pPr>
        <w:pStyle w:val="SourceCode"/>
      </w:pPr>
      <w:r>
        <w:rPr>
          <w:rStyle w:val="VerbatimChar"/>
        </w:rPr>
        <w:t xml:space="preserve">next(roster) =</w:t>
      </w:r>
      <w:r>
        <w:br/>
      </w:r>
      <w:r>
        <w:rPr>
          <w:rStyle w:val="VerbatimChar"/>
        </w:rPr>
        <w:t xml:space="preserve">  eligible members</w:t>
      </w:r>
      <w:r>
        <w:br/>
      </w:r>
      <w:r>
        <w:rPr>
          <w:rStyle w:val="VerbatimChar"/>
        </w:rPr>
        <w:t xml:space="preserve">  ORDER BY active_matters ASC, last_assigned_at ASC</w:t>
      </w:r>
      <w:r>
        <w:br/>
      </w:r>
      <w:r>
        <w:rPr>
          <w:rStyle w:val="VerbatimChar"/>
        </w:rPr>
        <w:t xml:space="preserve">  FOR UPDATE SKIP LOCKED</w:t>
      </w:r>
      <w:r>
        <w:br/>
      </w:r>
      <w:r>
        <w:rPr>
          <w:rStyle w:val="VerbatimChar"/>
        </w:rPr>
        <w:t xml:space="preserve">  LIMIT 1</w:t>
      </w:r>
    </w:p>
    <w:p>
      <w:pPr>
        <w:pStyle w:val="FirstParagraph"/>
      </w:pPr>
      <w:r>
        <w:t xml:space="preserve">Eligibility gate: tier floor, capacity not exceeded, no conflict flag, roster status AVAILABLE. Decline is allowed with a reason code, re-enters rotation, and records a</w:t>
      </w:r>
      <w:r>
        <w:t xml:space="preserve"> </w:t>
      </w:r>
      <w:r>
        <w:rPr>
          <w:rStyle w:val="VerbatimChar"/>
        </w:rPr>
        <w:t xml:space="preserve">conduct_signal</w:t>
      </w:r>
      <w:r>
        <w:t xml:space="preserve">. Repeated declines reduce roster priority — that is duty accounting, not client-facing reputation.</w:t>
      </w:r>
    </w:p>
    <w:bookmarkEnd w:id="35"/>
    <w:bookmarkStart w:id="36" w:name="why-this-survives-scrutiny"/>
    <w:p>
      <w:pPr>
        <w:pStyle w:val="Heading3"/>
      </w:pPr>
      <w:r>
        <w:t xml:space="preserve">Why this survives scrutiny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Algorithmic channelling toward specific lawyers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score exists; ordering is seeded rotation, replayable from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Paid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field, no table, no code path prices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Third-party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rating table; conduct signals are institution-facing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</w:t>
            </w:r>
            <w:r>
              <w:t xml:space="preserve"> </w:t>
            </w:r>
            <w:r>
              <w:t xml:space="preserve">“</w:t>
            </w:r>
            <w:r>
              <w:t xml:space="preserve">recommending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A returns a filtered set; the citizen chooses. Mode B is duty rotation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influencing who gets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output feeds</w:t>
            </w:r>
            <w:r>
              <w:t xml:space="preserve"> </w:t>
            </w:r>
            <w:r>
              <w:rPr>
                <w:rStyle w:val="VerbatimChar"/>
              </w:rPr>
              <w:t xml:space="preserve">taxonomy_code</w:t>
            </w:r>
            <w:r>
              <w:t xml:space="preserve"> </w:t>
            </w:r>
            <w:r>
              <w:t xml:space="preserve">only, and is validated against a closed enum before use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AI boundary, stated for judges:</w:t>
      </w:r>
      <w:r>
        <w:t xml:space="preserve"> </w:t>
      </w:r>
      <w:r>
        <w:t xml:space="preserve">AI reads what the citizen’s problem</w:t>
      </w:r>
      <w:r>
        <w:t xml:space="preserve"> </w:t>
      </w:r>
      <w:r>
        <w:rPr>
          <w:i/>
          <w:iCs/>
        </w:rPr>
        <w:t xml:space="preserve">is</w:t>
      </w:r>
      <w:r>
        <w:t xml:space="preserve">. It never touches</w:t>
      </w:r>
      <w:r>
        <w:t xml:space="preserve"> </w:t>
      </w:r>
      <w:r>
        <w:rPr>
          <w:i/>
          <w:iCs/>
        </w:rPr>
        <w:t xml:space="preserve">who they 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incentive-subsystem-the-actual-ps-answer"/>
    <w:p>
      <w:pPr>
        <w:pStyle w:val="Heading2"/>
      </w:pPr>
      <w:r>
        <w:t xml:space="preserve">7. Incentive subsystem — the actual PS answer</w:t>
      </w:r>
    </w:p>
    <w:bookmarkStart w:id="38" w:name="earn-events"/>
    <w:p>
      <w:pPr>
        <w:pStyle w:val="Heading3"/>
      </w:pPr>
      <w:r>
        <w:t xml:space="preserve">7.1 Earn events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PRO_BONO_MATTER_CLOSED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closure confirmed by both parties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LEGAL_AID_TIER_MATTER_CLOSED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12–eligible citizen 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ASPIRATIONAL_BLOCK_SERVICE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multiplier for underserved 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ROTATION_DUTY_COMPLETED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and completed a rotation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FIRST_RESPONSE_SLA_MET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Responded within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CLE_MODULE_COMPLETED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Continuing legal education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LOK_ADALAT_SETTLEMENT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Rewards resolution, not litigation</w:t>
            </w:r>
          </w:p>
        </w:tc>
      </w:tr>
    </w:tbl>
    <w:p>
      <w:pPr>
        <w:pStyle w:val="BodyText"/>
      </w:pPr>
      <w:r>
        <w:t xml:space="preserve">Weights live in</w:t>
      </w:r>
      <w:r>
        <w:t xml:space="preserve"> </w:t>
      </w:r>
      <w:r>
        <w:rPr>
          <w:rStyle w:val="VerbatimChar"/>
        </w:rPr>
        <w:t xml:space="preserve">weight_version</w:t>
      </w:r>
      <w:r>
        <w:t xml:space="preserve"> </w:t>
      </w:r>
      <w:r>
        <w:t xml:space="preserve">config, are published, and are versioned — a credit earned under v1 weights stays valid when v2 ships.</w:t>
      </w:r>
    </w:p>
    <w:bookmarkEnd w:id="38"/>
    <w:bookmarkStart w:id="39" w:name="integrity"/>
    <w:p>
      <w:pPr>
        <w:pStyle w:val="Heading3"/>
      </w:pPr>
      <w:r>
        <w:t xml:space="preserve">7.2 Integrity</w:t>
      </w:r>
    </w:p>
    <w:p>
      <w:pPr>
        <w:pStyle w:val="SourceCode"/>
      </w:pPr>
      <w:r>
        <w:rPr>
          <w:rStyle w:val="NormalTok"/>
        </w:rPr>
        <w:t xml:space="preserve">credit_event.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sha256(prev_hash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provider_id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event_type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credits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occurred_at)</w:t>
      </w:r>
    </w:p>
    <w:p>
      <w:pPr>
        <w:pStyle w:val="FirstParagraph"/>
      </w:pPr>
      <w:r>
        <w:t xml:space="preserve">Append-only is enforced at the grant level (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only, no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/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for the app role). Corrections are compensating negative entries, never edits.</w:t>
      </w:r>
      <w:r>
        <w:t xml:space="preserve"> </w:t>
      </w:r>
      <w:r>
        <w:rPr>
          <w:rStyle w:val="VerbatimChar"/>
        </w:rPr>
        <w:t xml:space="preserve">credit_balance</w:t>
      </w:r>
      <w:r>
        <w:t xml:space="preserve"> </w:t>
      </w:r>
      <w:r>
        <w:t xml:space="preserve">is maintained in the same serializable transaction as the event insert, so a balance can never disagree with its history.</w:t>
      </w:r>
    </w:p>
    <w:p>
      <w:pPr>
        <w:pStyle w:val="BodyText"/>
      </w:pPr>
      <w:r>
        <w:t xml:space="preserve">The writer locks the provider’s ledger head, reads</w:t>
      </w:r>
      <w:r>
        <w:t xml:space="preserve"> </w:t>
      </w:r>
      <w:r>
        <w:rPr>
          <w:rStyle w:val="VerbatimChar"/>
        </w:rPr>
        <w:t xml:space="preserve">prev_hash</w:t>
      </w:r>
      <w:r>
        <w:t xml:space="preserve">, computes the new hash in the trusted service or a database function, inserts the event, and updates the materialized balance in one transaction. The chain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PostgreSQL generated column because generated expressions cannot reference another row.</w:t>
      </w:r>
    </w:p>
    <w:p>
      <w:pPr>
        <w:pStyle w:val="BodyText"/>
      </w:pPr>
      <w:r>
        <w:t xml:space="preserve">No blockchain. The trust boundary is a government platform with an auditable database; a hash chain gives tamper-evidence at a thousandth of the cost.</w:t>
      </w:r>
    </w:p>
    <w:bookmarkEnd w:id="39"/>
    <w:bookmarkStart w:id="40" w:name="redemption-what-credits-actually-buy"/>
    <w:p>
      <w:pPr>
        <w:pStyle w:val="Heading3"/>
      </w:pPr>
      <w:r>
        <w:t xml:space="preserve">7.3 Redemption — what credits actually buy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SERVICE_RECORD_EXPORT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Signed export of verified service events for the provider’s own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PANEL_APPLICATION_EVIDENCE_PACKET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packet formatted to support a DLSA / High Court panel application; the platform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decide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RECOGNITION_ELIGIBILITY_PACKET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Service-threshold evidence that an authorized institution may use to issue recognition; the platform does not self-issue official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CLE_ACTIVITY_RECORD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Verifiable record of completed learning activity; it becomes official CLE credit only if the competent institution recognizes it</w:t>
            </w:r>
          </w:p>
        </w:tc>
      </w:tr>
    </w:tbl>
    <w:bookmarkEnd w:id="40"/>
    <w:bookmarkStart w:id="41" w:name="the-guardrail-that-keeps-this-lawful"/>
    <w:p>
      <w:pPr>
        <w:pStyle w:val="Heading3"/>
      </w:pPr>
      <w:r>
        <w:t xml:space="preserve">7.4 The guardrail that keeps this lawful</w:t>
      </w:r>
    </w:p>
    <w:p>
      <w:pPr>
        <w:pStyle w:val="FirstParagraph"/>
      </w:pPr>
      <w:r>
        <w:rPr>
          <w:b/>
          <w:bCs/>
        </w:rPr>
        <w:t xml:space="preserve">Credits are never citizen-facing.</w:t>
      </w:r>
      <w:r>
        <w:t xml:space="preserve"> </w:t>
      </w:r>
      <w:r>
        <w:t xml:space="preserve">No leaderboard, no public badge, no</w:t>
      </w:r>
      <w:r>
        <w:t xml:space="preserve"> </w:t>
      </w:r>
      <w:r>
        <w:t xml:space="preserve">“</w:t>
      </w:r>
      <w:r>
        <w:t xml:space="preserve">gold advocate</w:t>
      </w:r>
      <w:r>
        <w:t xml:space="preserve">”</w:t>
      </w:r>
      <w:r>
        <w:t xml:space="preserve">, nothing in a citizen-visible DTO. Credits are visible to the provider (their own record) and to institutional consumers (DLSA, bar council, DoJ) via the institutional API.</w:t>
      </w:r>
    </w:p>
    <w:p>
      <w:pPr>
        <w:pStyle w:val="BodyText"/>
      </w:pPr>
      <w:r>
        <w:t xml:space="preserve">The distinction is the whole design: a</w:t>
      </w:r>
      <w:r>
        <w:t xml:space="preserve"> </w:t>
      </w:r>
      <w:r>
        <w:rPr>
          <w:b/>
          <w:bCs/>
        </w:rPr>
        <w:t xml:space="preserve">service record</w:t>
      </w:r>
      <w:r>
        <w:t xml:space="preserve"> </w:t>
      </w:r>
      <w:r>
        <w:t xml:space="preserve">submitted to a statutory body is not advertising. A</w:t>
      </w:r>
      <w:r>
        <w:t xml:space="preserve"> </w:t>
      </w:r>
      <w:r>
        <w:rPr>
          <w:b/>
          <w:bCs/>
        </w:rPr>
        <w:t xml:space="preserve">badge shown to prospective clients</w:t>
      </w:r>
      <w:r>
        <w:t xml:space="preserve"> </w:t>
      </w:r>
      <w:r>
        <w:t xml:space="preserve">is. Same data, and only one of them is legal.</w:t>
      </w:r>
    </w:p>
    <w:p>
      <w:pPr>
        <w:pStyle w:val="BodyText"/>
      </w:pPr>
      <w:r>
        <w:t xml:space="preserve">Credits are non-purchasable and non-transferable — there is no code path that mints a credit from a payment. Credits also</w:t>
      </w:r>
      <w:r>
        <w:t xml:space="preserve"> </w:t>
      </w:r>
      <w:r>
        <w:rPr>
          <w:b/>
          <w:bCs/>
        </w:rPr>
        <w:t xml:space="preserve">never change citizen-facing directory order, roster eligibility rules, or payment-settlement speed.</w:t>
      </w:r>
    </w:p>
    <w:bookmarkEnd w:id="41"/>
    <w:bookmarkStart w:id="42" w:name="Xd2d3c852e5bb2dc8370e222c9895411465c7aab"/>
    <w:p>
      <w:pPr>
        <w:pStyle w:val="Heading3"/>
      </w:pPr>
      <w:r>
        <w:t xml:space="preserve">7.5 Non-credit incentives worth more than credits</w:t>
      </w:r>
    </w:p>
    <w:p>
      <w:pPr>
        <w:pStyle w:val="FirstParagraph"/>
      </w:pPr>
      <w:r>
        <w:t xml:space="preserve">For a junior district-court advocate, the strongest incentive is not a certificate: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 protection through an authorized payment provider.</w:t>
      </w:r>
      <w:r>
        <w:t xml:space="preserve"> </w:t>
      </w:r>
      <w:r>
        <w:t xml:space="preserve">Where a licensed provider offers marketplace/hold-and-release functionality, the platform orchestrates it through the provider API; the platform itself does not custody client funds.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Zero platform commission.</w:t>
      </w:r>
      <w:r>
        <w:t xml:space="preserve"> </w:t>
      </w:r>
      <w:r>
        <w:t xml:space="preserve">State the number: 0%. Third-party payment-processing charges may still apply and must be disclosed separately.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Fee transparency enforced upfront.</w:t>
      </w:r>
      <w:r>
        <w:t xml:space="preserve"> </w:t>
      </w:r>
      <w:r>
        <w:t xml:space="preserve">Quote before work, quote honoured, disputes go to grievance rather than hidden fee changes.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Low-friction onboarding.</w:t>
      </w:r>
      <w:r>
        <w:t xml:space="preserve"> </w:t>
      </w:r>
      <w:r>
        <w:t xml:space="preserve">Issuer-attested credentials can make verification fast when integrations are enabled; the fallback path remains authority lookup + temporary document processing + review.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5525e7fe02855ae7de99f0c98e298c1b7414e77"/>
    <w:p>
      <w:pPr>
        <w:pStyle w:val="Heading2"/>
      </w:pPr>
      <w:r>
        <w:t xml:space="preserve">7.6 Payment boundary — orchestration, not custody</w:t>
      </w:r>
    </w:p>
    <w:p>
      <w:pPr>
        <w:pStyle w:val="FirstParagraph"/>
      </w:pPr>
      <w:r>
        <w:t xml:space="preserve">The platform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payment system operator and does not maintain an internal client-funds balance. All online money movement is delegated to an authorized payment provider. The backend’s responsibilities are limited to:</w:t>
      </w:r>
    </w:p>
    <w:p>
      <w:pPr>
        <w:pStyle w:val="Compact"/>
        <w:numPr>
          <w:ilvl w:val="0"/>
          <w:numId w:val="1005"/>
        </w:numPr>
      </w:pPr>
      <w:r>
        <w:t xml:space="preserve">creating a provider-side payment intent/order;</w:t>
      </w:r>
    </w:p>
    <w:p>
      <w:pPr>
        <w:pStyle w:val="Compact"/>
        <w:numPr>
          <w:ilvl w:val="0"/>
          <w:numId w:val="1005"/>
        </w:numPr>
      </w:pPr>
      <w:r>
        <w:t xml:space="preserve">storing the external reference and disclosed fee breakdown;</w:t>
      </w:r>
    </w:p>
    <w:p>
      <w:pPr>
        <w:pStyle w:val="Compact"/>
        <w:numPr>
          <w:ilvl w:val="0"/>
          <w:numId w:val="1005"/>
        </w:numPr>
      </w:pPr>
      <w:r>
        <w:t xml:space="preserve">verifying webhook signatures and idempotency;</w:t>
      </w:r>
    </w:p>
    <w:p>
      <w:pPr>
        <w:pStyle w:val="Compact"/>
        <w:numPr>
          <w:ilvl w:val="0"/>
          <w:numId w:val="1005"/>
        </w:numPr>
      </w:pPr>
      <w:r>
        <w:t xml:space="preserve">reconciling provider-side payment/settlement status;</w:t>
      </w:r>
    </w:p>
    <w:p>
      <w:pPr>
        <w:pStyle w:val="Compact"/>
        <w:numPr>
          <w:ilvl w:val="0"/>
          <w:numId w:val="1005"/>
        </w:numPr>
      </w:pPr>
      <w:r>
        <w:t xml:space="preserve">recording offline-payment acknowledgements separately; and</w:t>
      </w:r>
    </w:p>
    <w:p>
      <w:pPr>
        <w:pStyle w:val="Compact"/>
        <w:numPr>
          <w:ilvl w:val="0"/>
          <w:numId w:val="1005"/>
        </w:numPr>
      </w:pPr>
      <w:r>
        <w:t xml:space="preserve">requesting provider-supported cancellation/hold/refund actions where applicable.</w:t>
      </w:r>
    </w:p>
    <w:p>
      <w:pPr>
        <w:pStyle w:val="SourceCode"/>
      </w:pPr>
      <w:r>
        <w:rPr>
          <w:rStyle w:val="VerbatimChar"/>
        </w:rPr>
        <w:t xml:space="preserve">Citizen -&gt; Authorized PSP -&gt; professional / provider settlement</w:t>
      </w:r>
      <w:r>
        <w:br/>
      </w:r>
      <w:r>
        <w:rPr>
          <w:rStyle w:val="VerbatimChar"/>
        </w:rPr>
        <w:t xml:space="preserve">             ^                    |</w:t>
      </w:r>
      <w:r>
        <w:br/>
      </w:r>
      <w:r>
        <w:rPr>
          <w:rStyle w:val="VerbatimChar"/>
        </w:rPr>
        <w:t xml:space="preserve">             |                    v</w:t>
      </w:r>
      <w:r>
        <w:br/>
      </w:r>
      <w:r>
        <w:rPr>
          <w:rStyle w:val="VerbatimChar"/>
        </w:rPr>
        <w:t xml:space="preserve">       signed webhook       status/reference</w:t>
      </w:r>
      <w:r>
        <w:br/>
      </w:r>
      <w:r>
        <w:rPr>
          <w:rStyle w:val="VerbatimChar"/>
        </w:rPr>
        <w:t xml:space="preserve">             \____________________/</w:t>
      </w:r>
      <w:r>
        <w:br/>
      </w:r>
      <w:r>
        <w:rPr>
          <w:rStyle w:val="VerbatimChar"/>
        </w:rPr>
        <w:t xml:space="preserve">                  platform backend</w:t>
      </w:r>
    </w:p>
    <w:p>
      <w:pPr>
        <w:pStyle w:val="FirstParagraph"/>
      </w:pPr>
      <w:r>
        <w:t xml:space="preserve">There is no platform-controlled wallet and no generic</w:t>
      </w:r>
      <w:r>
        <w:t xml:space="preserve"> </w:t>
      </w:r>
      <w:r>
        <w:rPr>
          <w:rStyle w:val="VerbatimChar"/>
        </w:rPr>
        <w:t xml:space="preserve">escrow</w:t>
      </w:r>
      <w:r>
        <w:t xml:space="preserve"> </w:t>
      </w:r>
      <w:r>
        <w:t xml:space="preserve">abstraction. If the selected PSP offers a regulated hold/split/marketplace-settlement product, that capability stays behind the</w:t>
      </w:r>
      <w:r>
        <w:t xml:space="preserve"> </w:t>
      </w:r>
      <w:r>
        <w:rPr>
          <w:rStyle w:val="VerbatimChar"/>
        </w:rPr>
        <w:t xml:space="preserve">PaymentProvider</w:t>
      </w:r>
      <w:r>
        <w:t xml:space="preserve"> </w:t>
      </w:r>
      <w:r>
        <w:t xml:space="preserve">adapter and is never described as the platform holding money.</w:t>
      </w:r>
    </w:p>
    <w:p>
      <w:r>
        <w:pict>
          <v:rect style="width:0;height:1.5pt" o:hralign="center" o:hrstd="t" o:hr="t"/>
        </w:pict>
      </w:r>
    </w:p>
    <w:bookmarkEnd w:id="44"/>
    <w:bookmarkStart w:id="48" w:name="access-subsystem-ps-challenge-5"/>
    <w:p>
      <w:pPr>
        <w:pStyle w:val="Heading2"/>
      </w:pPr>
      <w:r>
        <w:t xml:space="preserve">8. Access subsystem — PS challenge #5</w:t>
      </w:r>
    </w:p>
    <w:bookmarkStart w:id="45" w:name="channels"/>
    <w:p>
      <w:pPr>
        <w:pStyle w:val="Heading3"/>
      </w:pPr>
      <w:r>
        <w:t xml:space="preserve">8.1 Channels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/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OTP-first. Google OAuth optional, never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Assisted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CSC/VLE operator creates a delegated session with recorded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IVR / toll-free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intake, DTMF fallback, operator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+ voice note intake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Delegated sessions</w:t>
      </w:r>
      <w:r>
        <w:t xml:space="preserve"> </w:t>
      </w:r>
      <w:r>
        <w:t xml:space="preserve">are the piece v1.0 lacks entirely. An operator acting for a citizen is not the citizen:</w:t>
      </w:r>
      <w:r>
        <w:t xml:space="preserve"> </w:t>
      </w:r>
      <w:r>
        <w:rPr>
          <w:rStyle w:val="VerbatimChar"/>
        </w:rPr>
        <w:t xml:space="preserve">operator_delegation</w:t>
      </w:r>
      <w:r>
        <w:t xml:space="preserve"> </w:t>
      </w:r>
      <w:r>
        <w:t xml:space="preserve">records who acted, for whom, under what consent, over what window. Every write in that window carries both principals into</w:t>
      </w:r>
      <w:r>
        <w:t xml:space="preserve"> </w:t>
      </w:r>
      <w:r>
        <w:rPr>
          <w:rStyle w:val="VerbatimChar"/>
        </w:rPr>
        <w:t xml:space="preserve">audit_event</w:t>
      </w:r>
      <w:r>
        <w:t xml:space="preserve">. Assisted access without this is an impersonation hole.</w:t>
      </w:r>
    </w:p>
    <w:bookmarkEnd w:id="45"/>
    <w:bookmarkStart w:id="46" w:name="eligibility-router"/>
    <w:p>
      <w:pPr>
        <w:pStyle w:val="Heading3"/>
      </w:pPr>
      <w:r>
        <w:t xml:space="preserve">8.2 Eligibility router</w:t>
      </w:r>
    </w:p>
    <w:p>
      <w:pPr>
        <w:pStyle w:val="FirstParagraph"/>
      </w:pPr>
      <w:r>
        <w:t xml:space="preserve">Before any paid flow,</w:t>
      </w:r>
      <w:r>
        <w:t xml:space="preserve"> </w:t>
      </w:r>
      <w:r>
        <w:rPr>
          <w:rStyle w:val="VerbatimChar"/>
        </w:rPr>
        <w:t xml:space="preserve">eligibility/</w:t>
      </w:r>
      <w:r>
        <w:t xml:space="preserve"> </w:t>
      </w:r>
      <w:r>
        <w:t xml:space="preserve">runs the Section 12 LSA Act 1987 check:</w:t>
      </w:r>
    </w:p>
    <w:p>
      <w:pPr>
        <w:pStyle w:val="SourceCode"/>
      </w:pPr>
      <w:r>
        <w:rPr>
          <w:rStyle w:val="VerbatimChar"/>
        </w:rPr>
        <w:t xml:space="preserve">if self_declared_section12_category:</w:t>
      </w:r>
      <w:r>
        <w:br/>
      </w:r>
      <w:r>
        <w:rPr>
          <w:rStyle w:val="VerbatimChar"/>
        </w:rPr>
        <w:t xml:space="preserve">    route = LEGAL_AID_REFERRAL   -&gt; refer to DLSA / Nyaya Bandhu, do not charge</w:t>
      </w:r>
      <w:r>
        <w:br/>
      </w:r>
      <w:r>
        <w:rPr>
          <w:rStyle w:val="VerbatimChar"/>
        </w:rPr>
        <w:t xml:space="preserve">elif fee_ceiling below district floor for category:</w:t>
      </w:r>
      <w:r>
        <w:br/>
      </w:r>
      <w:r>
        <w:rPr>
          <w:rStyle w:val="VerbatimChar"/>
        </w:rPr>
        <w:t xml:space="preserve">    route = PRO_BONO_ROTATION    -&gt; Mode B against pro-bono roster</w:t>
      </w:r>
      <w:r>
        <w:br/>
      </w:r>
      <w:r>
        <w:rPr>
          <w:rStyle w:val="VerbatimChar"/>
        </w:rPr>
        <w:t xml:space="preserve">else:</w:t>
      </w:r>
      <w:r>
        <w:br/>
      </w:r>
      <w:r>
        <w:rPr>
          <w:rStyle w:val="VerbatimChar"/>
        </w:rPr>
        <w:t xml:space="preserve">    route = PAID                 -&gt; Mode A directory</w:t>
      </w:r>
    </w:p>
    <w:p>
      <w:pPr>
        <w:pStyle w:val="FirstParagraph"/>
      </w:pPr>
      <w:r>
        <w:t xml:space="preserve">The platform</w:t>
      </w:r>
      <w:r>
        <w:t xml:space="preserve"> </w:t>
      </w:r>
      <w:r>
        <w:rPr>
          <w:b/>
          <w:bCs/>
        </w:rPr>
        <w:t xml:space="preserve">refers</w:t>
      </w:r>
      <w:r>
        <w:t xml:space="preserve">; it does not adjudicate eligibility — that is DLSA’s statutory function. Self-declaration is sufficient to route, and the referral carries the declaration for the authority to verify.</w:t>
      </w:r>
    </w:p>
    <w:p>
      <w:pPr>
        <w:pStyle w:val="BodyText"/>
      </w:pPr>
      <w:r>
        <w:t xml:space="preserve">This is the single most important flow in the system and it is the one that turns</w:t>
      </w:r>
      <w:r>
        <w:t xml:space="preserve"> </w:t>
      </w:r>
      <w:r>
        <w:t xml:space="preserve">“</w:t>
      </w:r>
      <w:r>
        <w:t xml:space="preserve">marketplace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access to justice</w:t>
      </w:r>
      <w:r>
        <w:t xml:space="preserve">”</w:t>
      </w:r>
      <w:r>
        <w:t xml:space="preserve">. A citizen entitled to free representation must not be able to accidentally pay for it.</w:t>
      </w:r>
    </w:p>
    <w:bookmarkEnd w:id="46"/>
    <w:bookmarkStart w:id="47" w:name="language"/>
    <w:p>
      <w:pPr>
        <w:pStyle w:val="Heading3"/>
      </w:pPr>
      <w:r>
        <w:t xml:space="preserve">8.3 Language</w:t>
      </w:r>
    </w:p>
    <w:p>
      <w:pPr>
        <w:pStyle w:val="FirstParagraph"/>
      </w:pPr>
      <w:r>
        <w:t xml:space="preserve">Intake classification runs on 22 scheduled languages via the LLM adapter; taxonomy codes, notifications, and IVR prompts are pre-translated static content, not model output. Never let a model generate the legal category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a citizen reads.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accountability-subsystem"/>
    <w:p>
      <w:pPr>
        <w:pStyle w:val="Heading2"/>
      </w:pPr>
      <w:r>
        <w:t xml:space="preserve">9. Accountability subsystem</w:t>
      </w:r>
    </w:p>
    <w:bookmarkStart w:id="49" w:name="conduct-signals-not-ratings"/>
    <w:p>
      <w:pPr>
        <w:pStyle w:val="Heading3"/>
      </w:pPr>
      <w:r>
        <w:t xml:space="preserve">9.1 Conduct signals, not ratings</w:t>
      </w:r>
    </w:p>
    <w:p>
      <w:pPr>
        <w:pStyle w:val="FirstParagraph"/>
      </w:pPr>
      <w:r>
        <w:rPr>
          <w:rStyle w:val="VerbatimChar"/>
        </w:rPr>
        <w:t xml:space="preserve">conduct_signal</w:t>
      </w:r>
      <w:r>
        <w:t xml:space="preserve"> </w:t>
      </w:r>
      <w:r>
        <w:t xml:space="preserve">records objective, platform-observable facts: response time, no-show, fee disclosed before work, quote honoured, unilateral withdrawal. Not opinions.</w:t>
      </w:r>
    </w:p>
    <w:p>
      <w:pPr>
        <w:pStyle w:val="BodyText"/>
      </w:pPr>
      <w:r>
        <w:t xml:space="preserve">Consumption rules: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shown to citizens on a provider profile.</w:t>
      </w:r>
      <w:r>
        <w:t xml:space="preserve"> </w:t>
      </w:r>
      <w:r>
        <w:t xml:space="preserve">- Feed rotation priority (duty accounting).</w:t>
      </w:r>
      <w:r>
        <w:t xml:space="preserve"> </w:t>
      </w:r>
      <w:r>
        <w:t xml:space="preserve">- Trigger grievance review at threshold.</w:t>
      </w:r>
      <w:r>
        <w:t xml:space="preserve"> </w:t>
      </w:r>
      <w:r>
        <w:t xml:space="preserve">- Exposed in aggregate to institutional consumers.</w:t>
      </w:r>
    </w:p>
    <w:bookmarkEnd w:id="49"/>
    <w:bookmarkStart w:id="50" w:name="grievance-statutory-referral"/>
    <w:p>
      <w:pPr>
        <w:pStyle w:val="Heading3"/>
      </w:pPr>
      <w:r>
        <w:t xml:space="preserve">9.2 Grievance → statutory referral</w:t>
      </w:r>
    </w:p>
    <w:p>
      <w:pPr>
        <w:pStyle w:val="SourceCode"/>
      </w:pPr>
      <w:r>
        <w:rPr>
          <w:rStyle w:val="VerbatimChar"/>
        </w:rPr>
        <w:t xml:space="preserve">OPEN -&gt; TRIAGED -&gt; {PLATFORM_RESOLVED | REFERRED_TO_BAR_COUNCIL | REFERRED_TO_DLSA}</w:t>
      </w:r>
    </w:p>
    <w:p>
      <w:pPr>
        <w:pStyle w:val="FirstParagraph"/>
      </w:pPr>
      <w:r>
        <w:t xml:space="preserve">Professional misconduct is a State Bar Council matter under s.35 of the Advocates Act. The platform’s job is to package a referral with a clean evidence trail and track outcome — not to adjudicate, and certainly not to publish a verdict as a star rating. Interim measures the platform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take under documented policy: suspend rotation eligibility, pause directory visibility, and request a hold/cancellation through the authorized payment provider where that provider supports it. The platform never freezes funds it does not lawfully custody.</w:t>
      </w:r>
    </w:p>
    <w:bookmarkEnd w:id="50"/>
    <w:bookmarkStart w:id="51" w:name="transparency-without-individual-scoring"/>
    <w:p>
      <w:pPr>
        <w:pStyle w:val="Heading3"/>
      </w:pPr>
      <w:r>
        <w:t xml:space="preserve">9.3 Transparency without individual scoring</w:t>
      </w:r>
    </w:p>
    <w:p>
      <w:pPr>
        <w:pStyle w:val="FirstParagraph"/>
      </w:pPr>
      <w:r>
        <w:t xml:space="preserve">Public dashboards report at aggregate level: matters served per district, pro bono hours contributed statewide, median response time by category, grievance resolution rates. This satisfies PS challenge #2 without rating a single named advocate.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privilege-boundary"/>
    <w:p>
      <w:pPr>
        <w:pStyle w:val="Heading2"/>
      </w:pPr>
      <w:r>
        <w:t xml:space="preserve">10. Privilege boundary</w:t>
      </w:r>
    </w:p>
    <w:p>
      <w:pPr>
        <w:pStyle w:val="FirstParagraph"/>
      </w:pPr>
      <w:r>
        <w:t xml:space="preserve">The platform stores</w:t>
      </w:r>
      <w:r>
        <w:t xml:space="preserve"> </w:t>
      </w:r>
      <w:r>
        <w:rPr>
          <w:b/>
          <w:bCs/>
        </w:rPr>
        <w:t xml:space="preserve">metadata about an engagement, never its content.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Who, when, category code, status, fee, CNR 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narrative, documents, evidence, advice, correspondence</w:t>
            </w:r>
          </w:p>
        </w:tc>
      </w:tr>
    </w:tbl>
    <w:p>
      <w:pPr>
        <w:pStyle w:val="BodyText"/>
      </w:pPr>
      <w:r>
        <w:t xml:space="preserve">Rationale: attorney-client communications are protected under s.132 of the Bharatiya Sakshya Adhiniyam. Routing privileged content through a third-party platform creates an exposure the MVP does not need. A CNR may be stored as a pointer; case status is obtained only through an authorized/available case-status integration or by directing the user to the official eCourts flow. The backend must not depend on scraping or an undocumented API.</w:t>
      </w:r>
    </w:p>
    <w:p>
      <w:pPr>
        <w:pStyle w:val="BodyText"/>
      </w:pPr>
      <w:r>
        <w:rPr>
          <w:b/>
          <w:bCs/>
        </w:rPr>
        <w:t xml:space="preserve">Intake narrative handling:</w:t>
      </w:r>
      <w:r>
        <w:t xml:space="preserve"> </w:t>
      </w:r>
      <w:r>
        <w:t xml:space="preserve">raw text goes to the classifier and is discarded on the same request. A pre-model redaction pass strips phone numbers, Aadhaar-shaped strings, account numbers, and names where detectable.</w:t>
      </w:r>
      <w:r>
        <w:t xml:space="preserve"> </w:t>
      </w:r>
      <w:r>
        <w:rPr>
          <w:rStyle w:val="VerbatimChar"/>
        </w:rPr>
        <w:t xml:space="preserve">need_request</w:t>
      </w:r>
      <w:r>
        <w:t xml:space="preserve"> </w:t>
      </w:r>
      <w:r>
        <w:t xml:space="preserve">has no narrative column, so there is no place for it to accidentally land.</w:t>
      </w:r>
    </w:p>
    <w:bookmarkStart w:id="53" w:name="case-status-adapter-policy"/>
    <w:p>
      <w:pPr>
        <w:pStyle w:val="Heading3"/>
      </w:pPr>
      <w:r>
        <w:t xml:space="preserve">10.1 Case-status adapter policy</w:t>
      </w:r>
    </w:p>
    <w:p>
      <w:pPr>
        <w:pStyle w:val="FirstParagraph"/>
      </w:pPr>
      <w:r>
        <w:rPr>
          <w:rStyle w:val="VerbatimChar"/>
        </w:rPr>
        <w:t xml:space="preserve">CaseStatusSource</w:t>
      </w:r>
      <w:r>
        <w:t xml:space="preserve"> </w:t>
      </w:r>
      <w:r>
        <w:t xml:space="preserve">is capability-dependent: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CaseStatusSource {</w:t>
      </w:r>
      <w:r>
        <w:br/>
      </w:r>
      <w:r>
        <w:rPr>
          <w:rStyle w:val="NormalTok"/>
        </w:rPr>
        <w:t xml:space="preserve"> 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'LINK_ONLY'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'OFF'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getByCnr</w:t>
      </w:r>
      <w:r>
        <w:rPr>
          <w:rStyle w:val="NormalTok"/>
        </w:rPr>
        <w:t xml:space="preserve">(cnr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CaseStatusResult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LIVE</w:t>
      </w:r>
      <w:r>
        <w:t xml:space="preserve">: used only when the team has an authorized/documented integration.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LINK_ONLY</w:t>
      </w:r>
      <w:r>
        <w:t xml:space="preserve">: returns the official eCourts destination/instructions for the citizen to continue there.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OFF</w:t>
      </w:r>
      <w:r>
        <w:t xml:space="preserve">: case-status enrichment is unavailable.</w:t>
      </w:r>
    </w:p>
    <w:p>
      <w:pPr>
        <w:pStyle w:val="Compact"/>
        <w:numPr>
          <w:ilvl w:val="0"/>
          <w:numId w:val="1006"/>
        </w:numPr>
      </w:pPr>
      <w:r>
        <w:t xml:space="preserve">Scraping, CAPTCHA bypass, and undocumented private endpoints are not implementation options.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api-surface"/>
    <w:p>
      <w:pPr>
        <w:pStyle w:val="Heading2"/>
      </w:pPr>
      <w:r>
        <w:t xml:space="preserve">11. API surface</w:t>
      </w:r>
    </w:p>
    <w:p>
      <w:pPr>
        <w:pStyle w:val="SourceCode"/>
      </w:pPr>
      <w:r>
        <w:rPr>
          <w:rStyle w:val="VerbatimChar"/>
        </w:rPr>
        <w:t xml:space="preserve">POST   /v1/auth/otp/request | /verify</w:t>
      </w:r>
      <w:r>
        <w:br/>
      </w:r>
      <w:r>
        <w:rPr>
          <w:rStyle w:val="VerbatimChar"/>
        </w:rPr>
        <w:t xml:space="preserve">POST   /v1/auth/delegation                 operator opens assisted session</w:t>
      </w:r>
      <w:r>
        <w:br/>
      </w:r>
      <w:r>
        <w:rPr>
          <w:rStyle w:val="VerbatimChar"/>
        </w:rPr>
        <w:t xml:space="preserve">DELETE /v1/auth/delegation/:id</w:t>
      </w:r>
      <w:r>
        <w:br/>
      </w:r>
      <w:r>
        <w:br/>
      </w:r>
      <w:r>
        <w:rPr>
          <w:rStyle w:val="VerbatimChar"/>
        </w:rPr>
        <w:t xml:space="preserve">POST   /v1/providers                       create profile</w:t>
      </w:r>
      <w:r>
        <w:br/>
      </w:r>
      <w:r>
        <w:rPr>
          <w:rStyle w:val="VerbatimChar"/>
        </w:rPr>
        <w:t xml:space="preserve">POST   /v1/providers/:id/credentials/issuer-fetch  initiate configured requester/issuer fetch</w:t>
      </w:r>
      <w:r>
        <w:br/>
      </w:r>
      <w:r>
        <w:rPr>
          <w:rStyle w:val="VerbatimChar"/>
        </w:rPr>
        <w:t xml:space="preserve">POST   /v1/providers/:id/credentials/upload        fallback, multipart, ephemeral</w:t>
      </w:r>
      <w:r>
        <w:br/>
      </w:r>
      <w:r>
        <w:rPr>
          <w:rStyle w:val="VerbatimChar"/>
        </w:rPr>
        <w:t xml:space="preserve">GET    /v1/providers/:id/verification</w:t>
      </w:r>
      <w:r>
        <w:br/>
      </w:r>
      <w:r>
        <w:br/>
      </w:r>
      <w:r>
        <w:rPr>
          <w:rStyle w:val="VerbatimChar"/>
        </w:rPr>
        <w:t xml:space="preserve">POST   /v1/needs                           intake -&gt; classification -&gt; eligibility</w:t>
      </w:r>
      <w:r>
        <w:br/>
      </w:r>
      <w:r>
        <w:rPr>
          <w:rStyle w:val="VerbatimChar"/>
        </w:rPr>
        <w:t xml:space="preserve">GET    /v1/needs/:id/directory             Mode A: filtered, rotated set</w:t>
      </w:r>
      <w:r>
        <w:br/>
      </w:r>
      <w:r>
        <w:rPr>
          <w:rStyle w:val="VerbatimChar"/>
        </w:rPr>
        <w:t xml:space="preserve">POST   /v1/needs/:id/select                citizen chooses a provider</w:t>
      </w:r>
      <w:r>
        <w:br/>
      </w:r>
      <w:r>
        <w:rPr>
          <w:rStyle w:val="VerbatimChar"/>
        </w:rPr>
        <w:t xml:space="preserve">POST   /v1/needs/:id/rotate                Mode B: rotation assignment</w:t>
      </w:r>
      <w:r>
        <w:br/>
      </w:r>
      <w:r>
        <w:rPr>
          <w:rStyle w:val="VerbatimChar"/>
        </w:rPr>
        <w:t xml:space="preserve">GET    /v1/needs/:id/referral              legal-aid referral artefact</w:t>
      </w:r>
      <w:r>
        <w:br/>
      </w:r>
      <w:r>
        <w:br/>
      </w:r>
      <w:r>
        <w:rPr>
          <w:rStyle w:val="VerbatimChar"/>
        </w:rPr>
        <w:t xml:space="preserve">GET    /v1/providers/:id/slots</w:t>
      </w:r>
      <w:r>
        <w:br/>
      </w:r>
      <w:r>
        <w:rPr>
          <w:rStyle w:val="VerbatimChar"/>
        </w:rPr>
        <w:t xml:space="preserve">POST   /v1/bookings | /:id/accept | /:id/decline | /:id/cancel</w:t>
      </w:r>
      <w:r>
        <w:br/>
      </w:r>
      <w:r>
        <w:br/>
      </w:r>
      <w:r>
        <w:rPr>
          <w:rStyle w:val="VerbatimChar"/>
        </w:rPr>
        <w:t xml:space="preserve">POST   /v1/matters/:id/close</w:t>
      </w:r>
      <w:r>
        <w:br/>
      </w:r>
      <w:r>
        <w:rPr>
          <w:rStyle w:val="VerbatimChar"/>
        </w:rPr>
        <w:t xml:space="preserve">GET    /v1/matters/:id/status              case-status adapter; returns LINK_REQUIRED if no authorized integration</w:t>
      </w:r>
      <w:r>
        <w:br/>
      </w:r>
      <w:r>
        <w:br/>
      </w:r>
      <w:r>
        <w:rPr>
          <w:rStyle w:val="VerbatimChar"/>
        </w:rPr>
        <w:t xml:space="preserve">GET    /v1/me/credits                      provider's own ledger</w:t>
      </w:r>
      <w:r>
        <w:br/>
      </w:r>
      <w:r>
        <w:rPr>
          <w:rStyle w:val="VerbatimChar"/>
        </w:rPr>
        <w:t xml:space="preserve">POST   /v1/me/redemptions</w:t>
      </w:r>
      <w:r>
        <w:br/>
      </w:r>
      <w:r>
        <w:rPr>
          <w:rStyle w:val="VerbatimChar"/>
        </w:rPr>
        <w:t xml:space="preserve">GET    /v1/me/service-record                signed service-record export</w:t>
      </w:r>
      <w:r>
        <w:br/>
      </w:r>
      <w:r>
        <w:rPr>
          <w:rStyle w:val="VerbatimChar"/>
        </w:rPr>
        <w:t xml:space="preserve">GET    /v1/me/panel-evidence                panel-application evidence packet</w:t>
      </w:r>
      <w:r>
        <w:br/>
      </w:r>
      <w:r>
        <w:br/>
      </w:r>
      <w:r>
        <w:rPr>
          <w:rStyle w:val="VerbatimChar"/>
        </w:rPr>
        <w:t xml:space="preserve">POST   /v1/payments/quotes</w:t>
      </w:r>
      <w:r>
        <w:br/>
      </w:r>
      <w:r>
        <w:rPr>
          <w:rStyle w:val="VerbatimChar"/>
        </w:rPr>
        <w:t xml:space="preserve">POST   /v1/payments/intents                 create intent/order with authorized PSP</w:t>
      </w:r>
      <w:r>
        <w:br/>
      </w:r>
      <w:r>
        <w:rPr>
          <w:rStyle w:val="VerbatimChar"/>
        </w:rPr>
        <w:t xml:space="preserve">GET    /v1/payments/:id</w:t>
      </w:r>
      <w:r>
        <w:br/>
      </w:r>
      <w:r>
        <w:rPr>
          <w:rStyle w:val="VerbatimChar"/>
        </w:rPr>
        <w:t xml:space="preserve">POST   /v1/payments/webhooks/:provider      verify provider signature before state transition</w:t>
      </w:r>
      <w:r>
        <w:br/>
      </w:r>
      <w:r>
        <w:rPr>
          <w:rStyle w:val="VerbatimChar"/>
        </w:rPr>
        <w:t xml:space="preserve">POST   /v1/payments/:id/offline-ack</w:t>
      </w:r>
      <w:r>
        <w:br/>
      </w:r>
      <w:r>
        <w:br/>
      </w:r>
      <w:r>
        <w:rPr>
          <w:rStyle w:val="VerbatimChar"/>
        </w:rPr>
        <w:t xml:space="preserve">POST   /v1/grievances</w:t>
      </w:r>
      <w:r>
        <w:br/>
      </w:r>
      <w:r>
        <w:rPr>
          <w:rStyle w:val="VerbatimChar"/>
        </w:rPr>
        <w:t xml:space="preserve">GET    /v1/institutional/providers/:id/record    scoped, consented</w:t>
      </w:r>
      <w:r>
        <w:br/>
      </w:r>
      <w:r>
        <w:rPr>
          <w:rStyle w:val="VerbatimChar"/>
        </w:rPr>
        <w:t xml:space="preserve">GET    /v1/institutional/rosters/:id</w:t>
      </w:r>
      <w:r>
        <w:br/>
      </w:r>
      <w:r>
        <w:rPr>
          <w:rStyle w:val="VerbatimChar"/>
        </w:rPr>
        <w:t xml:space="preserve">GET    /v1/public/stats                          aggregate only</w:t>
      </w:r>
    </w:p>
    <w:p>
      <w:pPr>
        <w:pStyle w:val="FirstParagraph"/>
      </w:pPr>
      <w:r>
        <w:t xml:space="preserve">Response DTOs are allowlisted. A lint rule in CI fails the build on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rank</w:t>
      </w:r>
      <w:r>
        <w:t xml:space="preserve">,</w:t>
      </w:r>
      <w:r>
        <w:t xml:space="preserve"> </w:t>
      </w:r>
      <w:r>
        <w:rPr>
          <w:rStyle w:val="VerbatimChar"/>
        </w:rPr>
        <w:t xml:space="preserve">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topMatch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creditBalance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conductScore</w:t>
      </w:r>
      <w:r>
        <w:t xml:space="preserve"> </w:t>
      </w:r>
      <w:r>
        <w:t xml:space="preserve">in any citizen-facing DTO. Institutional/provider-only DTOs are separately namespaced and schema-tested.</w:t>
      </w:r>
    </w:p>
    <w:p>
      <w:r>
        <w:pict>
          <v:rect style="width:0;height:1.5pt" o:hralign="center" o:hrstd="t" o:hr="t"/>
        </w:pict>
      </w:r>
    </w:p>
    <w:bookmarkEnd w:id="55"/>
    <w:bookmarkStart w:id="56" w:name="build-order"/>
    <w:p>
      <w:pPr>
        <w:pStyle w:val="Heading2"/>
      </w:pPr>
      <w:r>
        <w:t xml:space="preserve">12. Build order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Repo, Postgres, migrations, error model, audit, 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errors, audit writes on every mutation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+ delegation + provider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can open a consented session and 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Credential rail (one live/current authority adapter + requester integration if available + mock adapters)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Advocate reaches FULLY_VERIFIED only with a current authoritative match; source outage cannot upgrade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Intake + eligibility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12 citizen is referred, never charged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 Mode A + Mode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 ordering replays from seed; rotation is fair under 50 concurrent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Scheduling + 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Exclusion constraint holds; no double-book under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Ledger + redemption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Hash chain verifies; balance reconciles from events; panel packet exports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Payment-provider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 verified PSP webhook/server-side status check can move payment state; platform never self-custodies funds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+ grievance + institutional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Referral packet generated with full evidence trail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Demo narrative:</w:t>
      </w:r>
      <w:r>
        <w:t xml:space="preserve"> </w:t>
      </w:r>
      <w:r>
        <w:t xml:space="preserve">an advocate verifies through the configured credential path (live issuer/authority integration where available, otherwise a clearly-labelled demo adapter plus one live/current authority check) → a citizen in a rural block uses app/IVR-assisted intake → a VLE opens a delegated session → the eligibility router detects a Section 12 category and routes to legal-aid/pro-bono handling instead of a paid booking → rotation assigns the next advocate on duty → matter closes → the ledger credits pro bono + underserved-area service → the advocate exports a signed service record / panel-application evidence packet. No step claims that the platform itself grants official panel eligibility.</w:t>
      </w:r>
    </w:p>
    <w:p>
      <w:pPr>
        <w:pStyle w:val="BodyText"/>
      </w:pPr>
      <w:r>
        <w:t xml:space="preserve">That story answers all five PS challenges in one flow, and not one frame of it shows a ranked list of lawyers.</w:t>
      </w:r>
    </w:p>
    <w:p>
      <w:r>
        <w:pict>
          <v:rect style="width:0;height:1.5pt" o:hralign="center" o:hrstd="t" o:hr="t"/>
        </w:pict>
      </w:r>
    </w:p>
    <w:bookmarkEnd w:id="56"/>
    <w:bookmarkStart w:id="57" w:name="X4ac351fd1f7d2bc7d39601bd9c84c05a527d434"/>
    <w:p>
      <w:pPr>
        <w:pStyle w:val="Heading2"/>
      </w:pPr>
      <w:r>
        <w:t xml:space="preserve">13. External dependency matrix and feature flags</w:t>
      </w:r>
    </w:p>
    <w:p>
      <w:pPr>
        <w:pStyle w:val="FirstParagraph"/>
      </w:pPr>
      <w:r>
        <w:t xml:space="preserve">The architecture must boot and pass core tests even when non-essential government/partner integrations are unavailable. Each adapter is configured explicitly; there is no silent mock in production.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Bar/current authority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for at least one supported 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current-authority adapters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tier / review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DigiLocker requester fetch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if onboarding is approved, otherwise</w:t>
            </w:r>
            <w:r>
              <w:t xml:space="preserve"> </w:t>
            </w: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requester integration with supported issuers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fallback credential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AIBE/CoP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only where an authorized/public path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verification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relevant verification leg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eCourts case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LINK_ONLY</w:t>
            </w:r>
            <w:r>
              <w:t xml:space="preserve"> </w:t>
            </w:r>
            <w:r>
              <w:t xml:space="preserve">unless documented integration 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case-status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official external continuation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Payment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Sandbox</w:t>
            </w:r>
            <w:r>
              <w:t xml:space="preserve"> </w:t>
            </w:r>
            <w:r>
              <w:rPr>
                <w:rStyle w:val="VerbatimChar"/>
              </w:rP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Authorized PSP production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 can remain unpaid / offline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IVR / WhatsApp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</w:t>
            </w:r>
            <w:r>
              <w:t xml:space="preserve"> </w:t>
            </w:r>
            <w:r>
              <w:t xml:space="preserve">or sandbox as 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messaging/voice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Web/app assisted mode remains 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signed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DLSA/BCI/DoJ integration where agreed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remains evidence, not official status</w:t>
            </w:r>
          </w:p>
        </w:tc>
      </w:tr>
    </w:tbl>
    <w:p>
      <w:pPr>
        <w:pStyle w:val="BodyText"/>
      </w:pPr>
      <w:r>
        <w:t xml:space="preserve">Recommended flags:</w:t>
      </w:r>
    </w:p>
    <w:p>
      <w:pPr>
        <w:pStyle w:val="SourceCode"/>
      </w:pPr>
      <w:r>
        <w:rPr>
          <w:rStyle w:val="VerbatimChar"/>
        </w:rPr>
        <w:t xml:space="preserve">CREDENTIAL_DIGILOCKER_MODE=LIVE|MOCK|OFF</w:t>
      </w:r>
      <w:r>
        <w:br/>
      </w:r>
      <w:r>
        <w:rPr>
          <w:rStyle w:val="VerbatimChar"/>
        </w:rPr>
        <w:t xml:space="preserve">CREDENTIAL_BAR_MODE=LIVE|MOCK|OFF</w:t>
      </w:r>
      <w:r>
        <w:br/>
      </w:r>
      <w:r>
        <w:rPr>
          <w:rStyle w:val="VerbatimChar"/>
        </w:rPr>
        <w:t xml:space="preserve">CREDENTIAL_AIBE_MODE=LIVE|MOCK|OFF</w:t>
      </w:r>
      <w:r>
        <w:br/>
      </w:r>
      <w:r>
        <w:rPr>
          <w:rStyle w:val="VerbatimChar"/>
        </w:rPr>
        <w:t xml:space="preserve">CASE_STATUS_MODE=LIVE|LINK_ONLY|OFF</w:t>
      </w:r>
      <w:r>
        <w:br/>
      </w:r>
      <w:r>
        <w:rPr>
          <w:rStyle w:val="VerbatimChar"/>
        </w:rPr>
        <w:t xml:space="preserve">PAYMENTS_MODE=LIVE|SANDBOX|OFF</w:t>
      </w:r>
      <w:r>
        <w:br/>
      </w:r>
      <w:r>
        <w:rPr>
          <w:rStyle w:val="VerbatimChar"/>
        </w:rPr>
        <w:t xml:space="preserve">IVR_MODE=LIVE|MOCK|OFF</w:t>
      </w:r>
      <w:r>
        <w:br/>
      </w:r>
      <w:r>
        <w:rPr>
          <w:rStyle w:val="VerbatimChar"/>
        </w:rPr>
        <w:t xml:space="preserve">WHATSAPP_MODE=LIVE|MOCK|OFF</w:t>
      </w:r>
      <w:r>
        <w:br/>
      </w:r>
      <w:r>
        <w:rPr>
          <w:rStyle w:val="VerbatimChar"/>
        </w:rPr>
        <w:t xml:space="preserve">INSTITUTIONAL_EXPORT_MODE=LOCAL|LIVE|OFF</w:t>
      </w:r>
    </w:p>
    <w:p>
      <w:pPr>
        <w:pStyle w:val="FirstParagraph"/>
      </w:pPr>
      <w:r>
        <w:rPr>
          <w:b/>
          <w:bCs/>
        </w:rPr>
        <w:t xml:space="preserve">Handoff rule:</w:t>
      </w:r>
      <w:r>
        <w:t xml:space="preserve"> </w:t>
      </w:r>
      <w:r>
        <w:t xml:space="preserve">the README and deployment manifest must state which capabilities are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</w:t>
      </w:r>
      <w:r>
        <w:t xml:space="preserve">,</w:t>
      </w:r>
      <w:r>
        <w:t xml:space="preserve"> </w:t>
      </w:r>
      <w:r>
        <w:rPr>
          <w:rStyle w:val="VerbatimChar"/>
        </w:rPr>
        <w:t xml:space="preserve">LINK_ONLY</w:t>
      </w:r>
      <w:r>
        <w:t xml:space="preserve">, or</w:t>
      </w:r>
      <w:r>
        <w:t xml:space="preserve"> </w:t>
      </w:r>
      <w:r>
        <w:rPr>
          <w:rStyle w:val="VerbatimChar"/>
        </w:rPr>
        <w:t xml:space="preserve">OFF</w:t>
      </w:r>
      <w:r>
        <w:t xml:space="preserve">. A demo must never visually represent a mock source as a government-confirmed result.</w:t>
      </w:r>
    </w:p>
    <w:p>
      <w:r>
        <w:pict>
          <v:rect style="width:0;height:1.5pt" o:hralign="center" o:hrstd="t" o:hr="t"/>
        </w:pict>
      </w:r>
    </w:p>
    <w:bookmarkEnd w:id="57"/>
    <w:bookmarkStart w:id="58" w:name="acceptance-tests-that-define-correctness"/>
    <w:p>
      <w:pPr>
        <w:pStyle w:val="Heading2"/>
      </w:pPr>
      <w:r>
        <w:t xml:space="preserve">14. Acceptance tests that define correctness</w:t>
      </w:r>
    </w:p>
    <w:p>
      <w:pPr>
        <w:pStyle w:val="Compact"/>
        <w:numPr>
          <w:ilvl w:val="0"/>
          <w:numId w:val="1007"/>
        </w:numPr>
      </w:pPr>
      <w:r>
        <w:t xml:space="preserve">No code path assigns a numeric quality score to a provider.</w:t>
      </w:r>
    </w:p>
    <w:p>
      <w:pPr>
        <w:pStyle w:val="Compact"/>
        <w:numPr>
          <w:ilvl w:val="0"/>
          <w:numId w:val="1007"/>
        </w:numPr>
      </w:pPr>
      <w:r>
        <w:t xml:space="preserve">Directory ordering for a given</w:t>
      </w:r>
      <w:r>
        <w:t xml:space="preserve"> </w:t>
      </w:r>
      <w:r>
        <w:rPr>
          <w:rStyle w:val="VerbatimChar"/>
        </w:rPr>
        <w:t xml:space="preserve">need_request.id</w:t>
      </w:r>
      <w:r>
        <w:t xml:space="preserve"> </w:t>
      </w:r>
      <w:r>
        <w:t xml:space="preserve">is reproducible from the stored seed.</w:t>
      </w:r>
    </w:p>
    <w:p>
      <w:pPr>
        <w:pStyle w:val="Compact"/>
        <w:numPr>
          <w:ilvl w:val="0"/>
          <w:numId w:val="1007"/>
        </w:numPr>
      </w:pPr>
      <w:r>
        <w:t xml:space="preserve">A provider cannot improve directory position through any payment, and no endpoint accepts one.</w:t>
      </w:r>
    </w:p>
    <w:p>
      <w:pPr>
        <w:pStyle w:val="Compact"/>
        <w:numPr>
          <w:ilvl w:val="0"/>
          <w:numId w:val="1007"/>
        </w:numPr>
      </w:pPr>
      <w:r>
        <w:t xml:space="preserve">Service credits cannot improve citizen-facing directory position, rotational allocation priority, or payment-settlement speed.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PANEL_APPLICATION_EVIDENCE_PACKET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RECOGNITION_ELIGIBILITY_PACKET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CLE_ACTIVITY_RECORD</w:t>
      </w:r>
      <w:r>
        <w:t xml:space="preserve"> </w:t>
      </w:r>
      <w:r>
        <w:t xml:space="preserve">are evidence artefacts; none is represented as an official institutional decision unless a live authorized institution issues that decision.</w:t>
      </w:r>
    </w:p>
    <w:p>
      <w:pPr>
        <w:pStyle w:val="Compact"/>
        <w:numPr>
          <w:ilvl w:val="0"/>
          <w:numId w:val="1007"/>
        </w:numPr>
      </w:pPr>
      <w:r>
        <w:t xml:space="preserve">Rotation assignment under 50 concurrent requests distributes evenly and assigns each provider at most once.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UNAVAILABLE</w:t>
      </w:r>
      <w:r>
        <w:t xml:space="preserve"> </w:t>
      </w:r>
      <w:r>
        <w:t xml:space="preserve">from a credential source never yields FULLY_VERIFIED.</w:t>
      </w:r>
    </w:p>
    <w:p>
      <w:pPr>
        <w:pStyle w:val="Compact"/>
        <w:numPr>
          <w:ilvl w:val="0"/>
          <w:numId w:val="1007"/>
        </w:numPr>
      </w:pPr>
      <w:r>
        <w:t xml:space="preserve">A regex/format match alone never contributes to any tier.</w:t>
      </w:r>
    </w:p>
    <w:p>
      <w:pPr>
        <w:pStyle w:val="Compact"/>
        <w:numPr>
          <w:ilvl w:val="0"/>
          <w:numId w:val="1007"/>
        </w:numPr>
      </w:pPr>
      <w:r>
        <w:t xml:space="preserve">LLM output cannot set a verification tier or influence allocation order.</w:t>
      </w:r>
    </w:p>
    <w:p>
      <w:pPr>
        <w:pStyle w:val="Compact"/>
        <w:numPr>
          <w:ilvl w:val="0"/>
          <w:numId w:val="1007"/>
        </w:numPr>
      </w:pPr>
      <w:r>
        <w:t xml:space="preserve">A Section 12–eligible citizen cannot complete a paid booking without an explicit override.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need_request</w:t>
      </w:r>
      <w:r>
        <w:t xml:space="preserve"> </w:t>
      </w:r>
      <w:r>
        <w:t xml:space="preserve">contains no free-text narrative after the request completes.</w:t>
      </w:r>
    </w:p>
    <w:p>
      <w:pPr>
        <w:pStyle w:val="Compact"/>
        <w:numPr>
          <w:ilvl w:val="0"/>
          <w:numId w:val="1007"/>
        </w:numPr>
      </w:pPr>
      <w:r>
        <w:t xml:space="preserve">Credit balance recomputed from</w:t>
      </w:r>
      <w:r>
        <w:t xml:space="preserve"> </w:t>
      </w:r>
      <w:r>
        <w:rPr>
          <w:rStyle w:val="VerbatimChar"/>
        </w:rPr>
        <w:t xml:space="preserve">credit_event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credit_balance</w:t>
      </w:r>
      <w:r>
        <w:t xml:space="preserve"> </w:t>
      </w:r>
      <w:r>
        <w:t xml:space="preserve">exactly.</w:t>
      </w:r>
    </w:p>
    <w:p>
      <w:pPr>
        <w:pStyle w:val="Compact"/>
        <w:numPr>
          <w:ilvl w:val="0"/>
          <w:numId w:val="100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credit_event</w:t>
      </w:r>
      <w:r>
        <w:t xml:space="preserve"> </w:t>
      </w:r>
      <w:r>
        <w:t xml:space="preserve">row can be updated or deleted by the application role.</w:t>
      </w:r>
    </w:p>
    <w:p>
      <w:pPr>
        <w:pStyle w:val="Compact"/>
        <w:numPr>
          <w:ilvl w:val="0"/>
          <w:numId w:val="1007"/>
        </w:numPr>
      </w:pPr>
      <w:r>
        <w:t xml:space="preserve">A citizen-facing DTO containing any credit, conduct, or grievance field fails CI.</w:t>
      </w:r>
    </w:p>
    <w:p>
      <w:pPr>
        <w:pStyle w:val="Compact"/>
        <w:numPr>
          <w:ilvl w:val="0"/>
          <w:numId w:val="1007"/>
        </w:numPr>
      </w:pPr>
      <w:r>
        <w:t xml:space="preserve">Two concurrent bookings for one slot: one succeeds, one gets 409.</w:t>
      </w:r>
    </w:p>
    <w:p>
      <w:pPr>
        <w:pStyle w:val="Compact"/>
        <w:numPr>
          <w:ilvl w:val="0"/>
          <w:numId w:val="1007"/>
        </w:numPr>
      </w:pPr>
      <w:r>
        <w:t xml:space="preserve">A forged frontend callback cannot transition a payment to</w:t>
      </w:r>
      <w:r>
        <w:t xml:space="preserve"> </w:t>
      </w:r>
      <w:r>
        <w:rPr>
          <w:rStyle w:val="VerbatimChar"/>
        </w:rPr>
        <w:t xml:space="preserve">PAID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SETTLED</w:t>
      </w:r>
      <w:r>
        <w:t xml:space="preserve">; only a verified payment-provider webhook or server-side provider status check can do so.</w:t>
      </w:r>
    </w:p>
    <w:p>
      <w:pPr>
        <w:pStyle w:val="Compact"/>
        <w:numPr>
          <w:ilvl w:val="0"/>
          <w:numId w:val="1007"/>
        </w:numPr>
      </w:pPr>
      <w:r>
        <w:t xml:space="preserve">The platform has no wallet/balance table representing client funds and no code path that self-custodies money.</w:t>
      </w:r>
    </w:p>
    <w:p>
      <w:pPr>
        <w:pStyle w:val="Compact"/>
        <w:numPr>
          <w:ilvl w:val="0"/>
          <w:numId w:val="1007"/>
        </w:numPr>
      </w:pPr>
      <w:r>
        <w:t xml:space="preserve">If a case-status integration is unavailable, the API returns an explicit fallback (</w:t>
      </w:r>
      <w:r>
        <w:rPr>
          <w:rStyle w:val="VerbatimChar"/>
        </w:rPr>
        <w:t xml:space="preserve">LINK_REQUIRED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) rather than scraping or inventing status.</w:t>
      </w:r>
    </w:p>
    <w:p>
      <w:pPr>
        <w:pStyle w:val="Compact"/>
        <w:numPr>
          <w:ilvl w:val="0"/>
          <w:numId w:val="1007"/>
        </w:numPr>
      </w:pPr>
      <w:r>
        <w:t xml:space="preserve">External adapters marked</w:t>
      </w:r>
      <w:r>
        <w:t xml:space="preserve"> </w:t>
      </w:r>
      <w:r>
        <w:rPr>
          <w:rStyle w:val="VerbatimChar"/>
        </w:rPr>
        <w:t xml:space="preserve">OFF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never silently fall back to a successful business decision.</w:t>
      </w:r>
    </w:p>
    <w:p>
      <w:r>
        <w:pict>
          <v:rect style="width:0;height:1.5pt" o:hralign="center" o:hrstd="t" o:hr="t"/>
        </w:pict>
      </w:r>
    </w:p>
    <w:bookmarkEnd w:id="58"/>
    <w:bookmarkStart w:id="69" w:name="Xf35dab0dc227a2dc65dde45c375ff0b028a521d"/>
    <w:p>
      <w:pPr>
        <w:pStyle w:val="Heading2"/>
      </w:pPr>
      <w:r>
        <w:t xml:space="preserve">Appendix A. Reference anchors for v2.1 hardening</w:t>
      </w:r>
    </w:p>
    <w:p>
      <w:pPr>
        <w:pStyle w:val="FirstParagraph"/>
      </w:pPr>
      <w:r>
        <w:t xml:space="preserve">These references are</w:t>
      </w:r>
      <w:r>
        <w:t xml:space="preserve"> </w:t>
      </w:r>
      <w:r>
        <w:rPr>
          <w:b/>
          <w:bCs/>
        </w:rPr>
        <w:t xml:space="preserve">architecture constraints and dependency anchors</w:t>
      </w:r>
      <w:r>
        <w:t xml:space="preserve">, not a substitute for legal review or partner onboarding.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Bar Council of India — BCI Rules / professional standards:</w:t>
      </w:r>
      <w:r>
        <w:t xml:space="preserve"> </w:t>
      </w:r>
      <w:r>
        <w:t xml:space="preserve">Rule 36 prohibits advocates from soliciting work or advertising. This is the basis for removing public ratings, ranked recommendations, paid placement, and promotional win/portfolio features.</w:t>
      </w:r>
      <w:r>
        <w:br/>
      </w:r>
      <w:hyperlink r:id="rId59">
        <w:r>
          <w:rPr>
            <w:rStyle w:val="Hyperlink"/>
          </w:rPr>
          <w:t xml:space="preserve">https://www.barcouncilofindia.org/info/bci-rules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Advocates Act, 1961 — Section 35:</w:t>
      </w:r>
      <w:r>
        <w:t xml:space="preserve"> </w:t>
      </w:r>
      <w:r>
        <w:t xml:space="preserve">professional misconduct complaints against advocates on a State roll are handled through the State Bar Council disciplinary mechanism.</w:t>
      </w:r>
      <w:r>
        <w:br/>
      </w:r>
      <w:hyperlink r:id="rId60">
        <w:r>
          <w:rPr>
            <w:rStyle w:val="Hyperlink"/>
          </w:rPr>
          <w:t xml:space="preserve">https://www.indiacode.nic.in/show-data?actid=AC_CEN_3_46_00001_196125_1517807320172&amp;orderno=42&amp;sectionId=14672&amp;sectionno=35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Bharatiya Sakshya Adhiniyam, 2023 — Section 132:</w:t>
      </w:r>
      <w:r>
        <w:t xml:space="preserve"> </w:t>
      </w:r>
      <w:r>
        <w:t xml:space="preserve">professional communications between advocate and client receive statutory protection, supporting the metadata-only privilege boundary.</w:t>
      </w:r>
      <w:r>
        <w:br/>
      </w:r>
      <w:hyperlink r:id="rId61">
        <w:r>
          <w:rPr>
            <w:rStyle w:val="Hyperlink"/>
          </w:rPr>
          <w:t xml:space="preserve">https://www.indiacode.nic.in/show-data?actid=AC_CEN_5_23_00049_2023-47_1719292804654&amp;orderno=132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DigiLocker — Requesters:</w:t>
      </w:r>
      <w:r>
        <w:t xml:space="preserve"> </w:t>
      </w:r>
      <w:r>
        <w:t xml:space="preserve">requester organizations must register and integrate to request/receive documents; therefore DigiLocker is capability-dependent rather than assumed.</w:t>
      </w:r>
      <w:r>
        <w:br/>
      </w:r>
      <w:hyperlink r:id="rId62">
        <w:r>
          <w:rPr>
            <w:rStyle w:val="Hyperlink"/>
          </w:rPr>
          <w:t xml:space="preserve">https://www.digilocker.gov.in/web/partners/requesters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eCourts Services:</w:t>
      </w:r>
      <w:r>
        <w:t xml:space="preserve"> </w:t>
      </w:r>
      <w:r>
        <w:t xml:space="preserve">public CNR-based case-status access exists; v2.1 deliberately does not assume a generally available developer API and supports</w:t>
      </w:r>
      <w:r>
        <w:t xml:space="preserve"> </w:t>
      </w:r>
      <w:r>
        <w:rPr>
          <w:rStyle w:val="VerbatimChar"/>
        </w:rPr>
        <w:t xml:space="preserve">LINK_ONLY</w:t>
      </w:r>
      <w:r>
        <w:t xml:space="preserve">.</w:t>
      </w:r>
      <w:r>
        <w:br/>
      </w:r>
      <w:hyperlink r:id="rId63">
        <w:r>
          <w:rPr>
            <w:rStyle w:val="Hyperlink"/>
          </w:rPr>
          <w:t xml:space="preserve">https://services.ecourts.gov.in/App/apphelp.html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Reserve Bank of India — Payment and Settlement Systems Act FAQ:</w:t>
      </w:r>
      <w:r>
        <w:t xml:space="preserve"> </w:t>
      </w:r>
      <w:r>
        <w:t xml:space="preserve">operating a payment system generally requires RBI authorization; therefore the platform delegates fund movement to an authorized payment provider rather than self-custodying client funds.</w:t>
      </w:r>
      <w:r>
        <w:br/>
      </w:r>
      <w:hyperlink r:id="rId64">
        <w:r>
          <w:rPr>
            <w:rStyle w:val="Hyperlink"/>
          </w:rPr>
          <w:t xml:space="preserve">https://www.rbi.org.in/commonman/english/scripts/FAQs.aspx?Id=420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PostgreSQL — Generated Columns:</w:t>
      </w:r>
      <w:r>
        <w:t xml:space="preserve"> </w:t>
      </w:r>
      <w:r>
        <w:t xml:space="preserve">generated expressions cannot reference anything other than the current row, so the ledger hash chain must be written transactionally rather than as a cross-row generated column.</w:t>
      </w:r>
      <w:r>
        <w:br/>
      </w:r>
      <w:hyperlink r:id="rId65">
        <w:r>
          <w:rPr>
            <w:rStyle w:val="Hyperlink"/>
          </w:rPr>
          <w:t xml:space="preserve">https://www.postgresql.org/docs/current/ddl-generated-columns.html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PostgreSQL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 UPDATE ... SKIP LOCKED</w:t>
      </w:r>
      <w:r>
        <w:rPr>
          <w:b/>
          <w:bCs/>
        </w:rPr>
        <w:t xml:space="preserve">:</w:t>
      </w:r>
      <w:r>
        <w:t xml:space="preserve"> </w:t>
      </w:r>
      <w:r>
        <w:t xml:space="preserve">appropriate for avoiding contention among consumers of queue-like tables, supporting duty-roster allocation.</w:t>
      </w:r>
      <w:r>
        <w:br/>
      </w:r>
      <w:hyperlink r:id="rId66">
        <w:r>
          <w:rPr>
            <w:rStyle w:val="Hyperlink"/>
          </w:rPr>
          <w:t xml:space="preserve">https://www.postgresql.org/docs/current/sql-select.html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PostgreSQL — Range exclusion constraints:</w:t>
      </w:r>
      <w:r>
        <w:t xml:space="preserve"> </w:t>
      </w:r>
      <w:r>
        <w:t xml:space="preserve">supports non-overlapping range constraints, used here to prevent double-booking.</w:t>
      </w:r>
      <w:r>
        <w:br/>
      </w:r>
      <w:hyperlink r:id="rId67">
        <w:r>
          <w:rPr>
            <w:rStyle w:val="Hyperlink"/>
          </w:rPr>
          <w:t xml:space="preserve">https://www.postgresql.org/docs/current/rangetypes.html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Press Information Bureau — Nyaya Setu:</w:t>
      </w:r>
      <w:r>
        <w:t xml:space="preserve"> </w:t>
      </w:r>
      <w:r>
        <w:t xml:space="preserve">the Department of Justice’s Nyaya Setu AI Chatbot was unveiled on 31 Mar 2026, which is why the submission name must change.</w:t>
      </w:r>
      <w:r>
        <w:br/>
      </w:r>
      <w:hyperlink r:id="rId68">
        <w:r>
          <w:rPr>
            <w:rStyle w:val="Hyperlink"/>
          </w:rPr>
          <w:t xml:space="preserve">https://www.pib.gov.in/PressReleasePage.aspx?PRID=2247310</w:t>
        </w:r>
      </w:hyperlink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3" Target="https://services.ecourts.gov.in/App/apphelp.html" TargetMode="External" /><Relationship Type="http://schemas.openxmlformats.org/officeDocument/2006/relationships/hyperlink" Id="rId59" Target="https://www.barcouncilofindia.org/info/bci-rules" TargetMode="External" /><Relationship Type="http://schemas.openxmlformats.org/officeDocument/2006/relationships/hyperlink" Id="rId62" Target="https://www.digilocker.gov.in/web/partners/requesters" TargetMode="External" /><Relationship Type="http://schemas.openxmlformats.org/officeDocument/2006/relationships/hyperlink" Id="rId60" Target="https://www.indiacode.nic.in/show-data?actid=AC_CEN_3_46_00001_196125_1517807320172&amp;orderno=42&amp;sectionId=14672&amp;sectionno=35" TargetMode="External" /><Relationship Type="http://schemas.openxmlformats.org/officeDocument/2006/relationships/hyperlink" Id="rId61" Target="https://www.indiacode.nic.in/show-data?actid=AC_CEN_5_23_00049_2023-47_1719292804654&amp;orderno=132" TargetMode="External" /><Relationship Type="http://schemas.openxmlformats.org/officeDocument/2006/relationships/hyperlink" Id="rId68" Target="https://www.pib.gov.in/PressReleasePage.aspx?PRID=2247310" TargetMode="External" /><Relationship Type="http://schemas.openxmlformats.org/officeDocument/2006/relationships/hyperlink" Id="rId65" Target="https://www.postgresql.org/docs/current/ddl-generated-columns.html" TargetMode="External" /><Relationship Type="http://schemas.openxmlformats.org/officeDocument/2006/relationships/hyperlink" Id="rId67" Target="https://www.postgresql.org/docs/current/rangetypes.html" TargetMode="External" /><Relationship Type="http://schemas.openxmlformats.org/officeDocument/2006/relationships/hyperlink" Id="rId66" Target="https://www.postgresql.org/docs/current/sql-select.html" TargetMode="External" /><Relationship Type="http://schemas.openxmlformats.org/officeDocument/2006/relationships/hyperlink" Id="rId64" Target="https://www.rbi.org.in/commonman/english/scripts/FAQs.aspx?Id=42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services.ecourts.gov.in/App/apphelp.html" TargetMode="External" /><Relationship Type="http://schemas.openxmlformats.org/officeDocument/2006/relationships/hyperlink" Id="rId59" Target="https://www.barcouncilofindia.org/info/bci-rules" TargetMode="External" /><Relationship Type="http://schemas.openxmlformats.org/officeDocument/2006/relationships/hyperlink" Id="rId62" Target="https://www.digilocker.gov.in/web/partners/requesters" TargetMode="External" /><Relationship Type="http://schemas.openxmlformats.org/officeDocument/2006/relationships/hyperlink" Id="rId60" Target="https://www.indiacode.nic.in/show-data?actid=AC_CEN_3_46_00001_196125_1517807320172&amp;orderno=42&amp;sectionId=14672&amp;sectionno=35" TargetMode="External" /><Relationship Type="http://schemas.openxmlformats.org/officeDocument/2006/relationships/hyperlink" Id="rId61" Target="https://www.indiacode.nic.in/show-data?actid=AC_CEN_5_23_00049_2023-47_1719292804654&amp;orderno=132" TargetMode="External" /><Relationship Type="http://schemas.openxmlformats.org/officeDocument/2006/relationships/hyperlink" Id="rId68" Target="https://www.pib.gov.in/PressReleasePage.aspx?PRID=2247310" TargetMode="External" /><Relationship Type="http://schemas.openxmlformats.org/officeDocument/2006/relationships/hyperlink" Id="rId65" Target="https://www.postgresql.org/docs/current/ddl-generated-columns.html" TargetMode="External" /><Relationship Type="http://schemas.openxmlformats.org/officeDocument/2006/relationships/hyperlink" Id="rId67" Target="https://www.postgresql.org/docs/current/rangetypes.html" TargetMode="External" /><Relationship Type="http://schemas.openxmlformats.org/officeDocument/2006/relationships/hyperlink" Id="rId66" Target="https://www.postgresql.org/docs/current/sql-select.html" TargetMode="External" /><Relationship Type="http://schemas.openxmlformats.org/officeDocument/2006/relationships/hyperlink" Id="rId64" Target="https://www.rbi.org.in/commonman/english/scripts/FAQs.aspx?Id=42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2026-08-19T07:55:00Z</dcterms:created>
  <dcterms:modified xsi:type="dcterms:W3CDTF">2026-08-19T07:55:00Z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