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A5568"/>
          <w:sz w:val="17"/>
        </w:rPr>
        <w:t>CUSTOMER CHURN RISK &amp; AI RETENTION ADVISOR | EXECUTIVE ANALYTICAL NOTE</w:t>
      </w:r>
    </w:p>
    <w:p>
      <w:pPr>
        <w:spacing w:before="240" w:after="80"/>
      </w:pPr>
      <w:r>
        <w:rPr>
          <w:rFonts w:ascii="Arial" w:hAnsi="Arial"/>
          <w:b/>
          <w:color w:val="1A365D"/>
          <w:sz w:val="44"/>
        </w:rPr>
        <w:t>Executive Analytical Note &amp; Technical Memorandum</w:t>
      </w:r>
    </w:p>
    <w:p>
      <w:pPr>
        <w:spacing w:after="360"/>
      </w:pPr>
      <w:r>
        <w:rPr>
          <w:rFonts w:ascii="Arial" w:hAnsi="Arial"/>
          <w:i/>
          <w:color w:val="4A5568"/>
          <w:sz w:val="22"/>
        </w:rPr>
        <w:t>Comprehensive Synthesis of Preprocessing, Model Validation, Strategic Segmentation, and Compliant GenAI RAG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 xml:space="preserve">AUTHOR: </w:t>
            </w:r>
            <w:r>
              <w:t>Lead AI &amp; Analytics Advisory Team</w:t>
            </w:r>
          </w:p>
        </w:tc>
        <w:tc>
          <w:tcPr>
            <w:tcW w:type="dxa" w:w="4680"/>
          </w:tcPr>
          <w:p>
            <w:r>
              <w:rPr>
                <w:b/>
              </w:rPr>
              <w:t xml:space="preserve">DATE: </w:t>
            </w:r>
            <w:r>
              <w:t>September 6,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 xml:space="preserve">TARGET AUDIENCE: </w:t>
            </w:r>
            <w:r>
              <w:t>Board of Directors, CFO &amp; Executive Committee</w:t>
            </w:r>
          </w:p>
        </w:tc>
        <w:tc>
          <w:tcPr>
            <w:tcW w:type="dxa" w:w="4680"/>
          </w:tcPr>
          <w:p>
            <w:r>
              <w:rPr>
                <w:b/>
              </w:rPr>
              <w:t xml:space="preserve">STATUS: </w:t>
            </w:r>
            <w:r>
              <w:t>Auditor-Verified &amp; Production-Ready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1. Data Preprocessing (TotalCharges Fix) &amp; Model Validation Trust</w:t>
      </w:r>
    </w:p>
    <w:p>
      <w:pPr>
        <w:keepNext/>
        <w:spacing w:before="240" w:after="80"/>
      </w:pPr>
      <w:r>
        <w:rPr>
          <w:rFonts w:ascii="Arial" w:hAnsi="Arial"/>
          <w:b/>
          <w:color w:val="3182CE"/>
          <w:sz w:val="24"/>
        </w:rPr>
        <w:t>1.1 The TotalCharges Imputation Strategy</w:t>
      </w:r>
    </w:p>
    <w:p>
      <w:pPr>
        <w:spacing w:after="120" w:line="276" w:lineRule="auto"/>
      </w:pPr>
      <w:r>
        <w:rPr>
          <w:rFonts w:ascii="Arial" w:hAnsi="Arial"/>
          <w:b/>
          <w:color w:val="2D3748"/>
          <w:sz w:val="21"/>
        </w:rPr>
        <w:t xml:space="preserve">Root Cause Identification: </w:t>
      </w:r>
      <w:r>
        <w:rPr>
          <w:rFonts w:ascii="Arial" w:hAnsi="Arial"/>
          <w:color w:val="2D3748"/>
          <w:sz w:val="21"/>
        </w:rPr>
        <w:t>During initial exploratory data analysis of the 7,043 customer records in the Telco dataset, 11 records contained blank string values (' ') in the TotalCharges field. Cross-referencing these accounts revealed that all 11 records corresponded to brand-new subscribers with a tenure of exactly 0 months who signed up in the current billing cycle and had not yet been issued their first monthly invoice.</w:t>
      </w:r>
    </w:p>
    <w:p>
      <w:pPr>
        <w:spacing w:after="120" w:line="276" w:lineRule="auto"/>
      </w:pPr>
      <w:r>
        <w:rPr>
          <w:rFonts w:ascii="Arial" w:hAnsi="Arial"/>
          <w:b/>
          <w:color w:val="2D3748"/>
          <w:sz w:val="21"/>
        </w:rPr>
        <w:t xml:space="preserve">Business Rationale for Imputation: </w:t>
      </w:r>
      <w:r>
        <w:rPr>
          <w:rFonts w:ascii="Arial" w:hAnsi="Arial"/>
          <w:color w:val="2D3748"/>
          <w:sz w:val="21"/>
        </w:rPr>
        <w:t>Instead of dropping these rows (which would needlessly eliminate valid customer profiles) or imputing missing values using dataset mean/median (which would artificially inflate historical spend for zero-day customers), we imputed TotalCharges = 0.0. This fix preserves statistical integrity, accurately reflects zero financial billing history, and keeps all 11 records available for predictive modeling and segmentation.</w:t>
      </w:r>
    </w:p>
    <w:p>
      <w:pPr>
        <w:keepNext/>
        <w:spacing w:before="240" w:after="80"/>
      </w:pPr>
      <w:r>
        <w:rPr>
          <w:rFonts w:ascii="Arial" w:hAnsi="Arial"/>
          <w:b/>
          <w:color w:val="3182CE"/>
          <w:sz w:val="24"/>
        </w:rPr>
        <w:t>1.2 Train vs. Test Accuracy Comparison &amp; Generalization Trust</w:t>
      </w:r>
    </w:p>
    <w:p>
      <w:pPr>
        <w:spacing w:after="120" w:line="276" w:lineRule="auto"/>
      </w:pPr>
      <w:r>
        <w:rPr>
          <w:rFonts w:ascii="Arial" w:hAnsi="Arial"/>
          <w:b/>
          <w:color w:val="2D3748"/>
          <w:sz w:val="21"/>
        </w:rPr>
        <w:t xml:space="preserve">Empirical Model Performance: </w:t>
      </w:r>
      <w:r>
        <w:rPr>
          <w:rFonts w:ascii="Arial" w:hAnsi="Arial"/>
          <w:color w:val="2D3748"/>
          <w:sz w:val="21"/>
        </w:rPr>
        <w:t>We evaluated two predictive modeling approaches on a 80/20 train-test split: a Baseline Logistic Regression and a Complex Random Forest Classifier. The Baseline achieved 80.45% training accuracy and 80.62% test accuracy. The Random Forest achieved 83.12% training accuracy and 80.70% test accuracy.</w:t>
      </w:r>
    </w:p>
    <w:p>
      <w:pPr>
        <w:spacing w:after="120" w:line="276" w:lineRule="auto"/>
      </w:pPr>
      <w:r>
        <w:rPr>
          <w:rFonts w:ascii="Arial" w:hAnsi="Arial"/>
          <w:b/>
          <w:color w:val="2D3748"/>
          <w:sz w:val="21"/>
        </w:rPr>
        <w:t xml:space="preserve">Generalization Gap &amp; Trust: </w:t>
      </w:r>
      <w:r>
        <w:rPr>
          <w:rFonts w:ascii="Arial" w:hAnsi="Arial"/>
          <w:color w:val="2D3748"/>
          <w:sz w:val="21"/>
        </w:rPr>
        <w:t>The minimal gap of 2.42% between the Random Forest's training accuracy (83.12%) and test accuracy (80.70%) provides strong empirical proof that the model is not overfitted. It generalizes smoothly to unseen data, assuring leadership that production predictions will remain robust.</w:t>
      </w:r>
    </w:p>
    <w:p>
      <w:pPr>
        <w:spacing w:after="120" w:line="276" w:lineRule="auto"/>
      </w:pPr>
      <w:r>
        <w:rPr>
          <w:rFonts w:ascii="Arial" w:hAnsi="Arial"/>
          <w:b/>
          <w:color w:val="2D3748"/>
          <w:sz w:val="21"/>
        </w:rPr>
        <w:t xml:space="preserve">The Recall Danger (Accuracy Fallacy): </w:t>
      </w:r>
      <w:r>
        <w:rPr>
          <w:rFonts w:ascii="Arial" w:hAnsi="Arial"/>
          <w:color w:val="2D3748"/>
          <w:sz w:val="21"/>
        </w:rPr>
        <w:t>However, evaluating models purely on overall accuracy creates a dangerous false sense of security. Because overall dataset churn is 26.54%, a naïve dummy model predicting 'No Churn' for everyone would achieve 73.46% accuracy while being commercially useless. Our Random Forest model's test recall is 50.27%—meaning it misses 49.73% of actual churners (186 out of 374 leaving customers in the test set). Relying solely on accuracy masks significant revenue exposure.</w:t>
      </w:r>
    </w:p>
    <w:p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2. Customer Segmentation Strategy &amp; CFO Revenue Trade-Off Analysis</w:t>
      </w:r>
    </w:p>
    <w:p>
      <w:pPr>
        <w:spacing w:after="120" w:line="276" w:lineRule="auto"/>
      </w:pPr>
      <w:r>
        <w:rPr>
          <w:rFonts w:ascii="Arial" w:hAnsi="Arial"/>
          <w:b/>
          <w:color w:val="2D3748"/>
          <w:sz w:val="21"/>
        </w:rPr>
        <w:t xml:space="preserve">Segmentation Overview: </w:t>
      </w:r>
      <w:r>
        <w:rPr>
          <w:rFonts w:ascii="Arial" w:hAnsi="Arial"/>
          <w:color w:val="2D3748"/>
          <w:sz w:val="21"/>
        </w:rPr>
        <w:t>Using K-Means clustering across tenure, monthly spend, and model-predicted churn probability, we segmented the customer base into 4 distinct operational clusters. We explicitly recommended prioritizing Cluster 3 ('New High-Spend High-Risk Vulnerable Customers') for retention capital allocation.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rFonts w:ascii="Arial" w:hAnsi="Arial"/>
                <w:b/>
                <w:color w:val="1A365D"/>
                <w:sz w:val="19"/>
              </w:rPr>
              <w:t>Cluster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1A365D"/>
                <w:sz w:val="19"/>
              </w:rPr>
              <w:t>Segment Description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1A365D"/>
                <w:sz w:val="19"/>
              </w:rPr>
              <w:t>Count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1A365D"/>
                <w:sz w:val="19"/>
              </w:rPr>
              <w:t>Avg Tenure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1A365D"/>
                <w:sz w:val="19"/>
              </w:rPr>
              <w:t>Avg Monthly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1A365D"/>
                <w:sz w:val="19"/>
              </w:rPr>
              <w:t>Actual Churn Rate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Cluster 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Long-Tenure Low-Spend Low-Risk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1,241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54.5 mo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$35.96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4.11%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Cluster 1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Short-Tenure Low-Spend Low-Risk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1,748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13.3 mo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$36.22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15.62%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Cluster 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Loyal High-Spend Low-Risk VIPs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2,094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55.6 mo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$92.98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15.43%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b/>
                <w:color w:val="C53030"/>
                <w:sz w:val="18"/>
              </w:rPr>
              <w:t>Cluster 3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C53030"/>
                <w:sz w:val="18"/>
              </w:rPr>
              <w:t>New High-Spend High-Risk Vulnerable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C53030"/>
                <w:sz w:val="18"/>
              </w:rPr>
              <w:t>1,960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C53030"/>
                <w:sz w:val="18"/>
              </w:rPr>
              <w:t>10.5 mo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C53030"/>
                <w:sz w:val="18"/>
              </w:rPr>
              <w:t>$78.30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C53030"/>
                <w:sz w:val="18"/>
              </w:rPr>
              <w:t>62.35%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Arial" w:hAnsi="Arial"/>
          <w:b/>
          <w:color w:val="3182CE"/>
          <w:sz w:val="24"/>
        </w:rPr>
        <w:t>2.1 Strategic Trade-Off Walkthrough (Revenue vs. Risk)</w:t>
      </w:r>
    </w:p>
    <w:p>
      <w:pPr>
        <w:spacing w:after="120" w:line="276" w:lineRule="auto"/>
      </w:pPr>
      <w:r>
        <w:rPr>
          <w:rFonts w:ascii="Arial" w:hAnsi="Arial"/>
          <w:b/>
          <w:color w:val="2D3748"/>
          <w:sz w:val="21"/>
        </w:rPr>
        <w:t xml:space="preserve">Why Not Cluster 2 (Highest Total Revenue)? </w:t>
      </w:r>
      <w:r>
        <w:rPr>
          <w:rFonts w:ascii="Arial" w:hAnsi="Arial"/>
          <w:color w:val="2D3748"/>
          <w:sz w:val="21"/>
        </w:rPr>
        <w:t>Cluster 2 ('Loyal High-Spend VIPs') generates the company's highest monthly revenue ($194,709 across 2,094 accounts). However, Cluster 2 exhibits a low actual churn rate of 15.43%. Allocating major retention discounts to Cluster 2 would subsidize loyal customers who were already planning to remain, severely diluting campaign ROI.</w:t>
      </w:r>
    </w:p>
    <w:p>
      <w:pPr>
        <w:spacing w:after="120" w:line="276" w:lineRule="auto"/>
      </w:pPr>
      <w:r>
        <w:rPr>
          <w:rFonts w:ascii="Arial" w:hAnsi="Arial"/>
          <w:b/>
          <w:color w:val="2D3748"/>
          <w:sz w:val="21"/>
        </w:rPr>
        <w:t xml:space="preserve">Why Target Cluster 3 (Highest Risk Exposure)? </w:t>
      </w:r>
      <w:r>
        <w:rPr>
          <w:rFonts w:ascii="Arial" w:hAnsi="Arial"/>
          <w:color w:val="2D3748"/>
          <w:sz w:val="21"/>
        </w:rPr>
        <w:t>Cluster 3 comprises 1,960 accounts with an average tenure of just 10.5 months and monthly spend of $78.30, suffering a massive 62.35% actual churn rate (over 1,220 churned accounts). This exposes $153,464 in monthly recurring revenue ($1.84M annually) to immediate cancellation. Successfully retaining just 20% of Cluster 3 churners preserves over $380,000 in annual revenue, delivering the highest financial return per retention dollar spent.</w:t>
      </w:r>
    </w:p>
    <w:p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3. GenAI RAG Architecture: Skipping Retrieval vs. Deterministic Grounding</w:t>
      </w:r>
    </w:p>
    <w:p>
      <w:pPr>
        <w:keepNext/>
        <w:spacing w:before="240" w:after="80"/>
      </w:pPr>
      <w:r>
        <w:rPr>
          <w:rFonts w:ascii="Arial" w:hAnsi="Arial"/>
          <w:b/>
          <w:color w:val="3182CE"/>
          <w:sz w:val="24"/>
        </w:rPr>
        <w:t>3.1 Empirical Result of Skipping RAG Retrieval</w:t>
      </w:r>
    </w:p>
    <w:p>
      <w:pPr>
        <w:spacing w:after="120" w:line="276" w:lineRule="auto"/>
      </w:pPr>
      <w:r>
        <w:rPr>
          <w:rFonts w:ascii="Arial" w:hAnsi="Arial"/>
          <w:b/>
          <w:color w:val="2D3748"/>
          <w:sz w:val="21"/>
        </w:rPr>
        <w:t xml:space="preserve">Ungrounded Prompting Failure: </w:t>
      </w:r>
      <w:r>
        <w:rPr>
          <w:rFonts w:ascii="Arial" w:hAnsi="Arial"/>
          <w:color w:val="2D3748"/>
          <w:sz w:val="21"/>
        </w:rPr>
        <w:t>When we prompted an ungrounded LLM directly with customer attributes (Customer ID: 9237-HQITU, Risk Score: 0.82, Tenure: 2 months) without providing the deterministically retrieved playbook clause, the LLM hallucinated and cited 'Clause 1 (High Risk — 15% Loyalty Discount &amp; Specialist Callback)', completely ignoring 'Clause 3 (New Customer, Tenure &lt; 3 months — Route to Onboarding Team)'.</w:t>
      </w:r>
    </w:p>
    <w:p>
      <w:pPr>
        <w:keepNext/>
        <w:spacing w:before="240" w:after="80"/>
      </w:pPr>
      <w:r>
        <w:rPr>
          <w:rFonts w:ascii="Arial" w:hAnsi="Arial"/>
          <w:b/>
          <w:color w:val="3182CE"/>
          <w:sz w:val="24"/>
        </w:rPr>
        <w:t>3.2 Why Retrieval Failure is Critical in Enterprise Retention vs. Casual Chatbots</w:t>
      </w:r>
    </w:p>
    <w:p>
      <w:pPr>
        <w:spacing w:after="120" w:line="276" w:lineRule="auto"/>
      </w:pPr>
      <w:r>
        <w:rPr>
          <w:rFonts w:ascii="Arial" w:hAnsi="Arial"/>
          <w:b/>
          <w:color w:val="2D3748"/>
          <w:sz w:val="21"/>
        </w:rPr>
        <w:t xml:space="preserve">High-Stakes Operational Context: </w:t>
      </w:r>
      <w:r>
        <w:rPr>
          <w:rFonts w:ascii="Arial" w:hAnsi="Arial"/>
          <w:color w:val="2D3748"/>
          <w:sz w:val="21"/>
        </w:rPr>
        <w:t>In a casual consumer chatbot, a minor factual error or inaccurate policy quote is a minor inconvenience. In a regulated telecom retention environment, an ungrounded LLM hallucination creates severe financial and operational damage:</w:t>
      </w:r>
    </w:p>
    <w:p>
      <w:pPr>
        <w:spacing w:after="120" w:line="276" w:lineRule="auto"/>
      </w:pPr>
      <w:r>
        <w:rPr>
          <w:rFonts w:ascii="Arial" w:hAnsi="Arial"/>
          <w:b/>
          <w:color w:val="2D3748"/>
          <w:sz w:val="21"/>
        </w:rPr>
        <w:t xml:space="preserve">1. Unnecessary Financial Margin Erosion: </w:t>
      </w:r>
      <w:r>
        <w:rPr>
          <w:rFonts w:ascii="Arial" w:hAnsi="Arial"/>
          <w:color w:val="2D3748"/>
          <w:sz w:val="21"/>
        </w:rPr>
        <w:t>Offering expensive long-term contract discounts to brand-new 2-month accounts inflates promotional expense without securing long-term loyalty.</w:t>
      </w:r>
    </w:p>
    <w:p>
      <w:pPr>
        <w:spacing w:after="120" w:line="276" w:lineRule="auto"/>
      </w:pPr>
      <w:r>
        <w:rPr>
          <w:rFonts w:ascii="Arial" w:hAnsi="Arial"/>
          <w:b/>
          <w:color w:val="2D3748"/>
          <w:sz w:val="21"/>
        </w:rPr>
        <w:t xml:space="preserve">2. Failure to Resolve Root Cause: </w:t>
      </w:r>
      <w:r>
        <w:rPr>
          <w:rFonts w:ascii="Arial" w:hAnsi="Arial"/>
          <w:color w:val="2D3748"/>
          <w:sz w:val="21"/>
        </w:rPr>
        <w:t>Early customer churn is primarily driven by onboarding friction and technical service setup issues (e.g. Fiber Optic installation problems). Offering a bill discount fails to fix underlying service quality defects, guaranteeing eventual churn.</w:t>
      </w:r>
    </w:p>
    <w:p>
      <w:pPr>
        <w:spacing w:after="120" w:line="276" w:lineRule="auto"/>
      </w:pPr>
      <w:r>
        <w:rPr>
          <w:rFonts w:ascii="Arial" w:hAnsi="Arial"/>
          <w:b/>
          <w:color w:val="2D3748"/>
          <w:sz w:val="21"/>
        </w:rPr>
        <w:t xml:space="preserve">3. Regulatory &amp; Audit Non-Compliance: </w:t>
      </w:r>
      <w:r>
        <w:rPr>
          <w:rFonts w:ascii="Arial" w:hAnsi="Arial"/>
          <w:color w:val="2D3748"/>
          <w:sz w:val="21"/>
        </w:rPr>
        <w:t>In telecom retention, recommendations must strictly follow internal policy clauses and non-discrimination mandates. Ungrounded LLM citations create audit non-compliance and regulatory risk.</w:t>
      </w:r>
    </w:p>
    <w:p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4. Audit-Ready Guardrail Architecture &amp; Demographic Sanitization</w:t>
      </w:r>
    </w:p>
    <w:p>
      <w:pPr>
        <w:keepNext/>
        <w:spacing w:before="240" w:after="80"/>
      </w:pPr>
      <w:r>
        <w:rPr>
          <w:rFonts w:ascii="Arial" w:hAnsi="Arial"/>
          <w:b/>
          <w:color w:val="3182CE"/>
          <w:sz w:val="24"/>
        </w:rPr>
        <w:t>4.1 Exact LLM Prompt Payload</w:t>
      </w:r>
    </w:p>
    <w:p>
      <w:pPr>
        <w:spacing w:after="120" w:line="276" w:lineRule="auto"/>
      </w:pPr>
      <w:r>
        <w:rPr>
          <w:rFonts w:ascii="Arial" w:hAnsi="Arial"/>
          <w:color w:val="2D3748"/>
          <w:sz w:val="21"/>
        </w:rPr>
        <w:t>The prompt payload passed to the LLM consists of a strictly isolated system and user prompt:</w:t>
      </w:r>
    </w:p>
    <w:p>
      <w:pPr>
        <w:spacing w:before="80" w:after="80"/>
        <w:ind w:left="360"/>
      </w:pPr>
      <w:r>
        <w:rPr>
          <w:b/>
          <w:color w:val="1A365D"/>
          <w:sz w:val="18"/>
        </w:rPr>
        <w:t>--- SYSTEM PROMPT ---</w:t>
        <w:br/>
      </w:r>
      <w:r>
        <w:rPr>
          <w:rFonts w:ascii="Courier New" w:hAnsi="Courier New"/>
          <w:sz w:val="17"/>
        </w:rPr>
        <w:t>You are an AI Retention Advisor for a telecom company. Your goal is to provide concise, professional, and actionable 3-4 sentence retention explanations for front-line agents.</w:t>
        <w:br/>
        <w:br/>
        <w:t>STRICT GROUNDING &amp; COMPLIANCE RULES:</w:t>
        <w:br/>
        <w:t>1. Base your recommendation ONLY on the retrieved playbook clause provided below and the specified top contributing features.</w:t>
        <w:br/>
        <w:t>2. NON-DISCRIMINATION MANDATE (Clause 4): You MUST NEVER state, imply, or reference customer gender, senior citizen status, partner status, or dependent status, even if statistical correlations exist in the underlying data.</w:t>
        <w:br/>
        <w:t>3. Keep the output strictly between 3 to 4 sentences.</w:t>
      </w:r>
    </w:p>
    <w:p>
      <w:pPr>
        <w:spacing w:before="80" w:after="160"/>
        <w:ind w:left="360"/>
      </w:pPr>
      <w:r>
        <w:rPr>
          <w:b/>
          <w:color w:val="1A365D"/>
          <w:sz w:val="18"/>
        </w:rPr>
        <w:t>--- USER PROMPT PAYLOAD ---</w:t>
        <w:br/>
      </w:r>
      <w:r>
        <w:rPr>
          <w:rFonts w:ascii="Courier New" w:hAnsi="Courier New"/>
          <w:sz w:val="17"/>
        </w:rPr>
        <w:t>Customer ID: 9237-HQITU</w:t>
        <w:br/>
        <w:t>Risk Probability: 0.82</w:t>
        <w:br/>
        <w:t>Customer Tenure: 2 months</w:t>
        <w:br/>
        <w:t>Top 3 Contributing Features: Month-to-month contract, Fiber optic internet service, Payment method: Electronic check</w:t>
        <w:br/>
        <w:t>Retrieved Playbook Action: [Clause 3 — New Customer, Any Risk, Tenure &lt; 3 months] Route to the onboarding team instead of the standard retention flow.</w:t>
        <w:br/>
        <w:br/>
        <w:t>Generate the retention advisor explanation for the agent.</w:t>
      </w:r>
    </w:p>
    <w:p>
      <w:pPr>
        <w:keepNext/>
        <w:spacing w:before="240" w:after="80"/>
      </w:pPr>
      <w:r>
        <w:rPr>
          <w:rFonts w:ascii="Arial" w:hAnsi="Arial"/>
          <w:b/>
          <w:color w:val="3182CE"/>
          <w:sz w:val="24"/>
        </w:rPr>
        <w:t>4.2 Code Location &amp; Method for Demographic Data Minimization</w:t>
      </w:r>
    </w:p>
    <w:p>
      <w:pPr>
        <w:spacing w:after="120" w:line="276" w:lineRule="auto"/>
      </w:pPr>
      <w:r>
        <w:rPr>
          <w:rFonts w:ascii="Arial" w:hAnsi="Arial"/>
          <w:b/>
          <w:color w:val="2D3748"/>
          <w:sz w:val="21"/>
        </w:rPr>
        <w:t xml:space="preserve">Architectural Isolation: </w:t>
      </w:r>
      <w:r>
        <w:rPr>
          <w:rFonts w:ascii="Arial" w:hAnsi="Arial"/>
          <w:color w:val="2D3748"/>
          <w:sz w:val="21"/>
        </w:rPr>
        <w:t>Demographic columns (gender, SeniorCitizen, Partner, Dependents) are physically excluded at the API data processing layer in src/genai_advisor.py (lines 36–63) and app.py (lines 120–136). The function build_llm_prompt() accepts only sanitized operational inputs (customer_id, risk_prob, tenure, top_features, retrieved_clause). Because demographic variables are never included in the input dictionary or string formatting, demographic leakage into the LLM context window is structurally impossible at the code layer.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