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988" w:rsidRDefault="004B0988" w14:paraId="1D148CE9" w14:textId="77777777"/>
    <w:p w:rsidRPr="00775469" w:rsidR="00775469" w:rsidP="00775469" w:rsidRDefault="00775469" w14:paraId="4A44CB8A" w14:textId="4C414F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469">
        <w:rPr>
          <w:rFonts w:ascii="Times New Roman" w:hAnsi="Times New Roman" w:cs="Times New Roman"/>
          <w:b/>
          <w:sz w:val="24"/>
          <w:szCs w:val="24"/>
        </w:rPr>
        <w:t>1. General Provisions</w:t>
      </w:r>
    </w:p>
    <w:p w:rsidRPr="00775469" w:rsidR="00775469" w:rsidP="00775469" w:rsidRDefault="00775469" w14:paraId="529D42E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775469">
        <w:rPr>
          <w:rFonts w:ascii="Times New Roman" w:hAnsi="Times New Roman" w:cs="Times New Roman"/>
          <w:sz w:val="24"/>
          <w:szCs w:val="24"/>
        </w:rPr>
        <w:t>1.1 The exam policy was developed in connection with the Administration decision "On Academic Policy " dated October 29, 2020 and “Regulations on the student assessment system” dated February 1, 2021 and “Regulations on the intermediate and final types of assessment” adopted by Astana IT University.</w:t>
      </w:r>
    </w:p>
    <w:p w:rsidRPr="00775469" w:rsidR="00775469" w:rsidP="00775469" w:rsidRDefault="00775469" w14:paraId="4C6D6283" w14:textId="444F2F9F">
      <w:pPr>
        <w:jc w:val="both"/>
        <w:rPr>
          <w:rFonts w:ascii="Times New Roman" w:hAnsi="Times New Roman" w:cs="Times New Roman"/>
          <w:sz w:val="24"/>
          <w:szCs w:val="24"/>
        </w:rPr>
      </w:pPr>
      <w:r w:rsidRPr="00775469">
        <w:rPr>
          <w:rFonts w:ascii="Times New Roman" w:hAnsi="Times New Roman" w:cs="Times New Roman"/>
          <w:sz w:val="24"/>
          <w:szCs w:val="24"/>
        </w:rPr>
        <w:t xml:space="preserve"> 1.2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eligible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examination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r w:rsidR="002937C0">
        <w:rPr>
          <w:rFonts w:ascii="Times New Roman" w:hAnsi="Times New Roman" w:cs="Times New Roman"/>
          <w:sz w:val="24"/>
          <w:szCs w:val="24"/>
          <w:lang w:val="en-US"/>
        </w:rPr>
        <w:t xml:space="preserve">Foreign language 2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AITU</w:t>
      </w:r>
      <w:r w:rsidR="002937C0">
        <w:rPr>
          <w:rFonts w:ascii="Times New Roman" w:hAnsi="Times New Roman" w:cs="Times New Roman"/>
          <w:sz w:val="24"/>
          <w:szCs w:val="24"/>
          <w:lang w:val="en-US"/>
        </w:rPr>
        <w:t xml:space="preserve"> GED Department</w:t>
      </w:r>
      <w:r w:rsidRPr="007754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attendance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70%,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mid-score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775469" w:rsidR="00775469" w:rsidP="00775469" w:rsidRDefault="00775469" w14:paraId="2A92E12F" w14:textId="42199F42">
      <w:pPr>
        <w:jc w:val="both"/>
        <w:rPr>
          <w:rFonts w:ascii="Times New Roman" w:hAnsi="Times New Roman" w:cs="Times New Roman"/>
          <w:sz w:val="24"/>
          <w:szCs w:val="24"/>
        </w:rPr>
      </w:pPr>
      <w:r w:rsidRPr="00775469">
        <w:rPr>
          <w:rFonts w:ascii="Times New Roman" w:hAnsi="Times New Roman" w:cs="Times New Roman"/>
          <w:sz w:val="24"/>
          <w:szCs w:val="24"/>
        </w:rPr>
        <w:t xml:space="preserve">NB: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Midterm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Endterm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25</w:t>
      </w:r>
      <w:r w:rsidR="002937C0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100%,</w:t>
      </w:r>
      <w:r w:rsidR="002937C0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Regulations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assessment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dated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1, 2021.</w:t>
      </w:r>
    </w:p>
    <w:p w:rsidRPr="00775469" w:rsidR="00775469" w:rsidP="00775469" w:rsidRDefault="00775469" w14:paraId="51B0C21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775469">
        <w:rPr>
          <w:rFonts w:ascii="Times New Roman" w:hAnsi="Times New Roman" w:cs="Times New Roman"/>
          <w:sz w:val="24"/>
          <w:szCs w:val="24"/>
        </w:rPr>
        <w:t xml:space="preserve">1.3 The final exam is carried out </w:t>
      </w:r>
      <w:r w:rsidRPr="002937C0">
        <w:rPr>
          <w:rFonts w:ascii="Times New Roman" w:hAnsi="Times New Roman" w:cs="Times New Roman"/>
          <w:b/>
          <w:bCs/>
          <w:sz w:val="24"/>
          <w:szCs w:val="24"/>
        </w:rPr>
        <w:t>in person</w:t>
      </w:r>
      <w:r w:rsidRPr="00775469">
        <w:rPr>
          <w:rFonts w:ascii="Times New Roman" w:hAnsi="Times New Roman" w:cs="Times New Roman"/>
          <w:sz w:val="24"/>
          <w:szCs w:val="24"/>
        </w:rPr>
        <w:t xml:space="preserve"> according to the approved schedule of examinations at Astana time. If a student is not admitted to the exam, the procedure is organised in accordance with the Regulations on conducting formative and summative assessments of Astana IT University. </w:t>
      </w:r>
    </w:p>
    <w:p w:rsidRPr="00775469" w:rsidR="00775469" w:rsidP="00775469" w:rsidRDefault="00775469" w14:paraId="5A8A216E" w14:textId="2E077214">
      <w:pPr>
        <w:jc w:val="both"/>
        <w:rPr>
          <w:rFonts w:ascii="Times New Roman" w:hAnsi="Times New Roman" w:cs="Times New Roman"/>
          <w:sz w:val="24"/>
          <w:szCs w:val="24"/>
        </w:rPr>
      </w:pPr>
      <w:r w:rsidRPr="0ECC0206" w:rsidR="00775469">
        <w:rPr>
          <w:rFonts w:ascii="Times New Roman" w:hAnsi="Times New Roman" w:cs="Times New Roman"/>
          <w:sz w:val="24"/>
          <w:szCs w:val="24"/>
        </w:rPr>
        <w:t xml:space="preserve">1.4 </w:t>
      </w:r>
      <w:r w:rsidRPr="0ECC0206" w:rsidR="00775469">
        <w:rPr>
          <w:rFonts w:ascii="Times New Roman" w:hAnsi="Times New Roman" w:cs="Times New Roman"/>
          <w:sz w:val="24"/>
          <w:szCs w:val="24"/>
        </w:rPr>
        <w:t>If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there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is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documentary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evidence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of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ECC0206" w:rsidR="00775469">
        <w:rPr>
          <w:rFonts w:ascii="Times New Roman" w:hAnsi="Times New Roman" w:cs="Times New Roman"/>
          <w:color w:val="auto"/>
          <w:sz w:val="24"/>
          <w:szCs w:val="24"/>
        </w:rPr>
        <w:t>valid</w:t>
      </w:r>
      <w:r w:rsidRPr="0ECC0206" w:rsidR="0077546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color w:val="auto"/>
          <w:sz w:val="24"/>
          <w:szCs w:val="24"/>
        </w:rPr>
        <w:t>reas</w:t>
      </w:r>
      <w:r w:rsidRPr="0ECC0206" w:rsidR="00775469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ECC0206" w:rsidR="00775469">
        <w:rPr>
          <w:rFonts w:ascii="Times New Roman" w:hAnsi="Times New Roman" w:cs="Times New Roman"/>
          <w:color w:val="auto"/>
          <w:sz w:val="24"/>
          <w:szCs w:val="24"/>
        </w:rPr>
        <w:t>n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for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missing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the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final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exam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, </w:t>
      </w:r>
      <w:r w:rsidRPr="0ECC0206" w:rsidR="00775469">
        <w:rPr>
          <w:rFonts w:ascii="Times New Roman" w:hAnsi="Times New Roman" w:cs="Times New Roman"/>
          <w:sz w:val="24"/>
          <w:szCs w:val="24"/>
        </w:rPr>
        <w:t>the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procedure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for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retaking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and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the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timing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of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the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exam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must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be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approved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by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the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2937C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ECC0206" w:rsidR="00775469">
        <w:rPr>
          <w:rFonts w:ascii="Times New Roman" w:hAnsi="Times New Roman" w:cs="Times New Roman"/>
          <w:sz w:val="24"/>
          <w:szCs w:val="24"/>
        </w:rPr>
        <w:t>ean's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2937C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ECC0206" w:rsidR="00775469">
        <w:rPr>
          <w:rFonts w:ascii="Times New Roman" w:hAnsi="Times New Roman" w:cs="Times New Roman"/>
          <w:sz w:val="24"/>
          <w:szCs w:val="24"/>
        </w:rPr>
        <w:t>ffice</w:t>
      </w:r>
      <w:r w:rsidRPr="0ECC0206" w:rsidR="00775469">
        <w:rPr>
          <w:rFonts w:ascii="Times New Roman" w:hAnsi="Times New Roman" w:cs="Times New Roman"/>
          <w:sz w:val="24"/>
          <w:szCs w:val="24"/>
        </w:rPr>
        <w:t>.</w:t>
      </w:r>
    </w:p>
    <w:p w:rsidRPr="00775469" w:rsidR="00775469" w:rsidP="00775469" w:rsidRDefault="00775469" w14:paraId="02AC2CD5" w14:textId="4DE5439B">
      <w:pPr>
        <w:jc w:val="both"/>
        <w:rPr>
          <w:rFonts w:ascii="Times New Roman" w:hAnsi="Times New Roman" w:cs="Times New Roman"/>
          <w:sz w:val="24"/>
          <w:szCs w:val="24"/>
        </w:rPr>
      </w:pPr>
      <w:r w:rsidRPr="00775469">
        <w:rPr>
          <w:rFonts w:ascii="Times New Roman" w:hAnsi="Times New Roman" w:cs="Times New Roman"/>
          <w:sz w:val="24"/>
          <w:szCs w:val="24"/>
        </w:rPr>
        <w:t>1.5 The results of any of the types of final assessment are determined in accordance with the Regulation on the point-rating system for assessing student progress (maximum 60% for the formative part and 40% for the final exam). The results of the final exam held in person are published in L</w:t>
      </w:r>
      <w:r w:rsidR="002937C0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75469">
        <w:rPr>
          <w:rFonts w:ascii="Times New Roman" w:hAnsi="Times New Roman" w:cs="Times New Roman"/>
          <w:sz w:val="24"/>
          <w:szCs w:val="24"/>
        </w:rPr>
        <w:t xml:space="preserve"> Mo</w:t>
      </w:r>
      <w:r>
        <w:rPr>
          <w:rFonts w:ascii="Times New Roman" w:hAnsi="Times New Roman" w:cs="Times New Roman"/>
          <w:sz w:val="24"/>
          <w:szCs w:val="24"/>
        </w:rPr>
        <w:t xml:space="preserve">odle by an examiner within </w:t>
      </w:r>
      <w:r w:rsidRPr="00775469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775469">
        <w:rPr>
          <w:rFonts w:ascii="Times New Roman" w:hAnsi="Times New Roman" w:cs="Times New Roman"/>
          <w:sz w:val="24"/>
          <w:szCs w:val="24"/>
        </w:rPr>
        <w:t xml:space="preserve"> working days after the exam. </w:t>
      </w:r>
    </w:p>
    <w:p w:rsidRPr="00775469" w:rsidR="00775469" w:rsidP="119A4064" w:rsidRDefault="00775469" w14:paraId="68C9B404" w14:textId="006C08BC">
      <w:pPr>
        <w:pStyle w:val="a"/>
        <w:spacing w:after="160" w:line="259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119A4064" w:rsidR="08A733E9">
        <w:rPr>
          <w:rFonts w:ascii="Times New Roman" w:hAnsi="Times New Roman" w:cs="Times New Roman"/>
          <w:sz w:val="24"/>
          <w:szCs w:val="24"/>
        </w:rPr>
        <w:t xml:space="preserve">1.6 </w:t>
      </w:r>
      <w:r w:rsidRPr="119A4064" w:rsidR="08A733E9">
        <w:rPr>
          <w:rFonts w:ascii="Times New Roman" w:hAnsi="Times New Roman" w:cs="Times New Roman"/>
          <w:sz w:val="24"/>
          <w:szCs w:val="24"/>
        </w:rPr>
        <w:t>The</w:t>
      </w:r>
      <w:r w:rsidRPr="119A4064" w:rsidR="1C4D5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zxx"/>
        </w:rPr>
        <w:t xml:space="preserve"> FX </w:t>
      </w:r>
      <w:r w:rsidRPr="119A4064" w:rsidR="1C4D5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zxx"/>
        </w:rPr>
        <w:t xml:space="preserve">option does not apply to </w:t>
      </w:r>
      <w:r w:rsidRPr="119A4064" w:rsidR="1C4D5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zxx"/>
        </w:rPr>
        <w:t>Foreign</w:t>
      </w:r>
      <w:r w:rsidRPr="119A4064" w:rsidR="1C4D5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zxx"/>
        </w:rPr>
        <w:t xml:space="preserve"> Language discipline.</w:t>
      </w:r>
      <w:r w:rsidRPr="119A4064" w:rsidR="1C4D5FE2">
        <w:rPr>
          <w:rFonts w:ascii="Times New Roman" w:hAnsi="Times New Roman" w:eastAsia="Times New Roman" w:cs="Times New Roman"/>
          <w:noProof w:val="0"/>
          <w:sz w:val="24"/>
          <w:szCs w:val="24"/>
          <w:lang w:val="zxx"/>
        </w:rPr>
        <w:t xml:space="preserve"> </w:t>
      </w:r>
    </w:p>
    <w:p w:rsidRPr="00775469" w:rsidR="00775469" w:rsidP="0ECC0206" w:rsidRDefault="00775469" w14:paraId="256A4D9F" w14:textId="5A90108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119A4064" w:rsidR="74459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Pr="00775469" w:rsidR="00775469" w:rsidP="00775469" w:rsidRDefault="00775469" w14:paraId="352E1DC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775469" w:rsidR="00775469" w:rsidP="00775469" w:rsidRDefault="00775469" w14:paraId="685ACB7B" w14:textId="7E3D21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469">
        <w:rPr>
          <w:rFonts w:ascii="Times New Roman" w:hAnsi="Times New Roman" w:cs="Times New Roman"/>
          <w:b/>
          <w:sz w:val="24"/>
          <w:szCs w:val="24"/>
        </w:rPr>
        <w:t>2. Academic Integrity Policy</w:t>
      </w:r>
    </w:p>
    <w:p w:rsidR="00F62BDD" w:rsidP="0ECC0206" w:rsidRDefault="00775469" w14:paraId="0A5EB628" w14:textId="7530C9D4">
      <w:pPr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ECC0206" w:rsidR="00775469">
        <w:rPr>
          <w:rFonts w:ascii="Times New Roman" w:hAnsi="Times New Roman" w:cs="Times New Roman"/>
          <w:sz w:val="24"/>
          <w:szCs w:val="24"/>
        </w:rPr>
        <w:t xml:space="preserve">2.1 The </w:t>
      </w:r>
      <w:r w:rsidRPr="0ECC0206" w:rsidR="00775469">
        <w:rPr>
          <w:rFonts w:ascii="Times New Roman" w:hAnsi="Times New Roman" w:cs="Times New Roman"/>
          <w:sz w:val="24"/>
          <w:szCs w:val="24"/>
        </w:rPr>
        <w:t>policy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of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academic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integrity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must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be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followed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by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student</w:t>
      </w:r>
      <w:r w:rsidRPr="0ECC0206" w:rsidR="00775469">
        <w:rPr>
          <w:rFonts w:ascii="Times New Roman" w:hAnsi="Times New Roman" w:cs="Times New Roman"/>
          <w:sz w:val="24"/>
          <w:szCs w:val="24"/>
        </w:rPr>
        <w:t>s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in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  <w:lang w:val="en-US"/>
        </w:rPr>
        <w:t xml:space="preserve">taking paper-based final </w:t>
      </w:r>
      <w:r w:rsidRPr="0ECC0206" w:rsidR="00775469">
        <w:rPr>
          <w:rFonts w:ascii="Times New Roman" w:hAnsi="Times New Roman" w:cs="Times New Roman"/>
          <w:sz w:val="24"/>
          <w:szCs w:val="24"/>
          <w:lang w:val="en-US"/>
        </w:rPr>
        <w:t>exam</w:t>
      </w:r>
      <w:r w:rsidRPr="0ECC0206" w:rsidR="00775469">
        <w:rPr>
          <w:rFonts w:ascii="Times New Roman" w:hAnsi="Times New Roman" w:cs="Times New Roman"/>
          <w:sz w:val="24"/>
          <w:szCs w:val="24"/>
        </w:rPr>
        <w:t>. The</w:t>
      </w:r>
      <w:r w:rsidRPr="0ECC0206" w:rsidR="00775469">
        <w:rPr>
          <w:rFonts w:ascii="Times New Roman" w:hAnsi="Times New Roman" w:cs="Times New Roman"/>
          <w:sz w:val="24"/>
          <w:szCs w:val="24"/>
          <w:lang w:val="en-US"/>
        </w:rPr>
        <w:t xml:space="preserve"> essay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should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be</w:t>
      </w:r>
      <w:r w:rsidRPr="0ECC0206" w:rsidR="00775469">
        <w:rPr>
          <w:rFonts w:ascii="Times New Roman" w:hAnsi="Times New Roman" w:cs="Times New Roman"/>
          <w:sz w:val="24"/>
          <w:szCs w:val="24"/>
          <w:lang w:val="en-US"/>
        </w:rPr>
        <w:t xml:space="preserve"> written </w:t>
      </w:r>
      <w:r w:rsidRPr="0ECC0206" w:rsidR="00775469">
        <w:rPr>
          <w:rFonts w:ascii="Times New Roman" w:hAnsi="Times New Roman" w:cs="Times New Roman"/>
          <w:sz w:val="24"/>
          <w:szCs w:val="24"/>
        </w:rPr>
        <w:t>personally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by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the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student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, </w:t>
      </w:r>
      <w:r w:rsidRPr="0ECC0206" w:rsidR="00775469">
        <w:rPr>
          <w:rFonts w:ascii="Times New Roman" w:hAnsi="Times New Roman" w:cs="Times New Roman"/>
          <w:sz w:val="24"/>
          <w:szCs w:val="24"/>
        </w:rPr>
        <w:t>without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the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involvement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of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outside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help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and</w:t>
      </w:r>
      <w:r w:rsidRPr="0ECC0206" w:rsidR="00775469">
        <w:rPr>
          <w:rFonts w:ascii="Times New Roman" w:hAnsi="Times New Roman" w:cs="Times New Roman"/>
          <w:sz w:val="24"/>
          <w:szCs w:val="24"/>
          <w:lang w:val="en-US"/>
        </w:rPr>
        <w:t xml:space="preserve"> any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technologi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 xml:space="preserve">es (AI platforms such as ChatGPT, Grammarly, translators, 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>QuillBot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>etc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. You 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>a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nnot access your </w:t>
      </w:r>
      <w:r w:rsidRPr="0ECC0206" w:rsidR="00FA62E6">
        <w:rPr>
          <w:rFonts w:ascii="Times New Roman" w:hAnsi="Times New Roman" w:cs="Times New Roman"/>
          <w:color w:val="auto"/>
          <w:sz w:val="24"/>
          <w:szCs w:val="24"/>
          <w:lang w:val="en-US"/>
        </w:rPr>
        <w:t>smart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phone or electronic </w:t>
      </w:r>
      <w:r w:rsidRPr="0ECC0206" w:rsidR="00FA62E6">
        <w:rPr>
          <w:rFonts w:ascii="Times New Roman" w:hAnsi="Times New Roman" w:cs="Times New Roman"/>
          <w:color w:val="auto"/>
          <w:sz w:val="24"/>
          <w:szCs w:val="24"/>
          <w:lang w:val="en-US"/>
        </w:rPr>
        <w:t>devices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(smart watches, 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>Airpods</w:t>
      </w:r>
      <w:r w:rsidRPr="0ECC0206" w:rsidR="00FA62E6">
        <w:rPr>
          <w:rFonts w:ascii="Times New Roman" w:hAnsi="Times New Roman" w:cs="Times New Roman"/>
          <w:color w:val="auto"/>
          <w:sz w:val="24"/>
          <w:szCs w:val="24"/>
          <w:lang w:val="en-US"/>
        </w:rPr>
        <w:t>/earphones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ECC0206" w:rsidR="00FA62E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laptop, tablet 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>etc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). </w:t>
      </w:r>
    </w:p>
    <w:p w:rsidR="00F62BDD" w:rsidP="00F62BDD" w:rsidRDefault="00F62BDD" w14:paraId="26381804" w14:textId="50FE19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F62BDD" w:rsidR="00F62BDD" w:rsidP="00F62BDD" w:rsidRDefault="00F62BDD" w14:paraId="3F2C2C4F" w14:textId="51A8782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2BDD">
        <w:rPr>
          <w:rFonts w:ascii="Times New Roman" w:hAnsi="Times New Roman" w:cs="Times New Roman"/>
          <w:b/>
          <w:sz w:val="24"/>
          <w:szCs w:val="24"/>
          <w:lang w:val="en-US"/>
        </w:rPr>
        <w:t>3. The Process of Examination</w:t>
      </w:r>
    </w:p>
    <w:p w:rsidR="00FA62E6" w:rsidP="00F62BDD" w:rsidRDefault="00F62BDD" w14:paraId="6AB958B8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3.1. </w:t>
      </w:r>
      <w:r w:rsidRPr="00B469B8">
        <w:rPr>
          <w:rFonts w:ascii="Times New Roman" w:hAnsi="Times New Roman" w:cs="Times New Roman"/>
          <w:sz w:val="24"/>
          <w:szCs w:val="24"/>
          <w:lang w:val="en-US"/>
        </w:rPr>
        <w:t xml:space="preserve">Preliminary preparation </w:t>
      </w:r>
      <w:r w:rsidRPr="00B469B8" w:rsidR="00FA62E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469B8">
        <w:rPr>
          <w:rFonts w:ascii="Times New Roman" w:hAnsi="Times New Roman" w:cs="Times New Roman"/>
          <w:sz w:val="24"/>
          <w:szCs w:val="24"/>
          <w:lang w:val="en-US"/>
        </w:rPr>
        <w:t>efore the exam</w:t>
      </w:r>
    </w:p>
    <w:p w:rsidR="00F62BDD" w:rsidP="00F62BDD" w:rsidRDefault="00B469B8" w14:paraId="3F775960" w14:textId="360EA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ECC0206" w:rsidR="00B469B8">
        <w:rPr>
          <w:rFonts w:ascii="Times New Roman" w:hAnsi="Times New Roman" w:cs="Times New Roman"/>
          <w:sz w:val="24"/>
          <w:szCs w:val="24"/>
          <w:lang w:val="en-US"/>
        </w:rPr>
        <w:t xml:space="preserve">3.1.1 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tudents should check the date and time in advance and come at least 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15 minutes before the exam time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. It is 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required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observe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the dress code (to have a neat look that matches the occasion). 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Bring your ID card, pen</w:t>
      </w:r>
      <w:r w:rsidRPr="0ECC0206" w:rsidR="00B469B8">
        <w:rPr>
          <w:rFonts w:ascii="Times New Roman" w:hAnsi="Times New Roman" w:cs="Times New Roman"/>
          <w:sz w:val="24"/>
          <w:szCs w:val="24"/>
          <w:lang w:val="en-US"/>
        </w:rPr>
        <w:t>s,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and pencils with erasers</w:t>
      </w:r>
      <w:r w:rsidRPr="0ECC0206" w:rsidR="00B469B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ECC0206" w:rsidR="00B469B8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do not bring pieces of paper to the exam</w:t>
      </w:r>
      <w:r w:rsidRPr="0ECC0206" w:rsidR="00B469B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. You cannot bring your bag to the desk and keep your electronic 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phones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 xml:space="preserve">/mobile phones 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inside the exam room.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ECC0206" w:rsidR="00FA62E6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In case of being late for more than 1</w:t>
      </w:r>
      <w:r w:rsidRPr="0ECC0206" w:rsidR="72696D51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5</w:t>
      </w:r>
      <w:r w:rsidRPr="0ECC0206" w:rsidR="00FA62E6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minutes you are not allowed to enter the final exam room.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2BDD" w:rsidP="00F62BDD" w:rsidRDefault="00F62BDD" w14:paraId="2167CB83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F62BDD" w:rsidR="00F62BDD" w:rsidP="00F62BDD" w:rsidRDefault="00F62BDD" w14:paraId="7D1E5959" w14:textId="45C8138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2BDD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.2. The exam structure</w:t>
      </w:r>
    </w:p>
    <w:p w:rsidR="004B19F2" w:rsidP="00F62BDD" w:rsidRDefault="00F62BDD" w14:paraId="55D21573" w14:textId="64D3F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>.2.1 The final exam for th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>e "Foreign Language 2" course is conducted in written form (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>on-campus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 xml:space="preserve">The final exam is 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an essay 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>writing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119A4064" w:rsidR="00380EBA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Pr="119A4064" w:rsidR="00380EBA">
        <w:rPr>
          <w:rFonts w:ascii="Times New Roman" w:hAnsi="Times New Roman" w:cs="Times New Roman"/>
          <w:sz w:val="24"/>
          <w:szCs w:val="24"/>
          <w:lang w:val="en-US"/>
        </w:rPr>
        <w:t xml:space="preserve"> on the 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>given</w:t>
      </w:r>
      <w:r w:rsidRPr="119A4064" w:rsidR="00380E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 xml:space="preserve">topic and 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>provided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 xml:space="preserve">journal </w:t>
      </w:r>
      <w:r w:rsidRPr="119A4064" w:rsidR="00380EBA">
        <w:rPr>
          <w:rFonts w:ascii="Times New Roman" w:hAnsi="Times New Roman" w:cs="Times New Roman"/>
          <w:sz w:val="24"/>
          <w:szCs w:val="24"/>
          <w:lang w:val="en-US"/>
        </w:rPr>
        <w:t>articles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Pr="004B19F2" w:rsidR="004B19F2" w:rsidP="004B19F2" w:rsidRDefault="00E00267" w14:paraId="3699B4D6" w14:textId="756213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119A4064" w:rsidR="00E0026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119A4064" w:rsidR="004B19F2">
        <w:rPr>
          <w:rFonts w:ascii="Times New Roman" w:hAnsi="Times New Roman" w:cs="Times New Roman"/>
          <w:sz w:val="24"/>
          <w:szCs w:val="24"/>
          <w:lang w:val="en-US"/>
        </w:rPr>
        <w:t xml:space="preserve">tudents </w:t>
      </w:r>
      <w:r w:rsidRPr="119A4064" w:rsidR="004B19F2">
        <w:rPr>
          <w:rFonts w:ascii="Times New Roman" w:hAnsi="Times New Roman" w:cs="Times New Roman"/>
          <w:sz w:val="24"/>
          <w:szCs w:val="24"/>
          <w:lang w:val="en-US"/>
        </w:rPr>
        <w:t>are required to</w:t>
      </w:r>
      <w:r w:rsidRPr="119A4064" w:rsidR="004B19F2">
        <w:rPr>
          <w:rFonts w:ascii="Times New Roman" w:hAnsi="Times New Roman" w:cs="Times New Roman"/>
          <w:sz w:val="24"/>
          <w:szCs w:val="24"/>
          <w:lang w:val="en-US"/>
        </w:rPr>
        <w:t xml:space="preserve"> write a </w:t>
      </w:r>
      <w:r w:rsidRPr="119A4064" w:rsidR="004B19F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comparison essay</w:t>
      </w:r>
      <w:r w:rsidRPr="119A4064" w:rsidR="004B19F2">
        <w:rPr>
          <w:rFonts w:ascii="Times New Roman" w:hAnsi="Times New Roman" w:cs="Times New Roman"/>
          <w:sz w:val="24"/>
          <w:szCs w:val="24"/>
          <w:lang w:val="en-US"/>
        </w:rPr>
        <w:t xml:space="preserve"> on the designated topic and given </w:t>
      </w:r>
      <w:r w:rsidRPr="119A4064" w:rsidR="06A342F4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119A4064" w:rsidR="00E00267">
        <w:rPr>
          <w:rFonts w:ascii="Times New Roman" w:hAnsi="Times New Roman" w:cs="Times New Roman"/>
          <w:sz w:val="24"/>
          <w:szCs w:val="24"/>
          <w:lang w:val="en-US"/>
        </w:rPr>
        <w:t xml:space="preserve">journal </w:t>
      </w:r>
      <w:r w:rsidRPr="119A4064" w:rsidR="004B19F2">
        <w:rPr>
          <w:rFonts w:ascii="Times New Roman" w:hAnsi="Times New Roman" w:cs="Times New Roman"/>
          <w:sz w:val="24"/>
          <w:szCs w:val="24"/>
          <w:lang w:val="en-US"/>
        </w:rPr>
        <w:t>articles.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 xml:space="preserve"> Essay length is 400-550 words</w:t>
      </w:r>
      <w:r w:rsidRPr="119A4064" w:rsidR="002F72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4B19F2" w:rsidR="004B19F2" w:rsidP="004B19F2" w:rsidRDefault="004B19F2" w14:paraId="734CC2E2" w14:textId="220BB7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19F2">
        <w:rPr>
          <w:rFonts w:ascii="Times New Roman" w:hAnsi="Times New Roman" w:cs="Times New Roman"/>
          <w:sz w:val="24"/>
          <w:szCs w:val="24"/>
          <w:lang w:val="en-US"/>
        </w:rPr>
        <w:t>The essay structure should include:</w:t>
      </w:r>
    </w:p>
    <w:p w:rsidRPr="004B19F2" w:rsidR="004B19F2" w:rsidP="004B19F2" w:rsidRDefault="004B19F2" w14:paraId="62DD4DAA" w14:textId="3C7F7F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19F2">
        <w:rPr>
          <w:rFonts w:ascii="Times New Roman" w:hAnsi="Times New Roman" w:cs="Times New Roman"/>
          <w:sz w:val="24"/>
          <w:szCs w:val="24"/>
          <w:lang w:val="en-US"/>
        </w:rPr>
        <w:t>Introduction contains only a thesis statement</w:t>
      </w:r>
      <w:r w:rsidR="002F72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9F2" w:rsidR="002F7276">
        <w:rPr>
          <w:rFonts w:ascii="Times New Roman" w:hAnsi="Times New Roman" w:cs="Times New Roman"/>
          <w:sz w:val="24"/>
          <w:szCs w:val="24"/>
          <w:lang w:val="en-US"/>
        </w:rPr>
        <w:t>(50</w:t>
      </w:r>
      <w:r w:rsidR="002F7276">
        <w:rPr>
          <w:rFonts w:ascii="Times New Roman" w:hAnsi="Times New Roman" w:cs="Times New Roman"/>
          <w:sz w:val="24"/>
          <w:szCs w:val="24"/>
          <w:lang w:val="en-US"/>
        </w:rPr>
        <w:t>-70</w:t>
      </w:r>
      <w:r w:rsidRPr="004B19F2" w:rsidR="002F7276">
        <w:rPr>
          <w:rFonts w:ascii="Times New Roman" w:hAnsi="Times New Roman" w:cs="Times New Roman"/>
          <w:sz w:val="24"/>
          <w:szCs w:val="24"/>
          <w:lang w:val="en-US"/>
        </w:rPr>
        <w:t xml:space="preserve"> words</w:t>
      </w:r>
      <w:proofErr w:type="gramStart"/>
      <w:r w:rsidRPr="004B19F2" w:rsidR="002F727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B19F2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4B1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Pr="004B19F2" w:rsidR="004B19F2" w:rsidP="004B19F2" w:rsidRDefault="004C050D" w14:paraId="5EF94C72" w14:textId="3E4FB5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="002F727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Point 1 + Point 2</w:t>
      </w:r>
      <w:r w:rsidR="002F72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00267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2F7276">
        <w:rPr>
          <w:rFonts w:ascii="Times New Roman" w:hAnsi="Times New Roman" w:cs="Times New Roman"/>
          <w:sz w:val="24"/>
          <w:szCs w:val="24"/>
          <w:lang w:val="en-US"/>
        </w:rPr>
        <w:t>400 words</w:t>
      </w:r>
      <w:proofErr w:type="gramStart"/>
      <w:r w:rsidR="002F727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2F7276" w:rsidP="002F7276" w:rsidRDefault="002F7276" w14:paraId="7F991A92" w14:textId="0BCC1B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Conclusion contains summary of main points (50-70 words). </w:t>
      </w:r>
    </w:p>
    <w:p w:rsidR="00380EBA" w:rsidP="00F62BDD" w:rsidRDefault="00D30BFF" w14:paraId="06FD5FCB" w14:textId="63E345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topics of the final exam essay </w:t>
      </w:r>
      <w:r w:rsidR="00534ED5">
        <w:rPr>
          <w:rFonts w:ascii="Times New Roman" w:hAnsi="Times New Roman" w:cs="Times New Roman"/>
          <w:sz w:val="24"/>
          <w:szCs w:val="24"/>
          <w:lang w:val="en-US"/>
        </w:rPr>
        <w:t>may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4ED5">
        <w:rPr>
          <w:rFonts w:ascii="Times New Roman" w:hAnsi="Times New Roman" w:cs="Times New Roman"/>
          <w:sz w:val="24"/>
          <w:szCs w:val="24"/>
          <w:lang w:val="en-US"/>
        </w:rPr>
        <w:t>include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534ED5">
        <w:rPr>
          <w:rFonts w:ascii="Times New Roman" w:hAnsi="Times New Roman" w:cs="Times New Roman"/>
          <w:sz w:val="24"/>
          <w:szCs w:val="24"/>
          <w:lang w:val="en-US"/>
        </w:rPr>
        <w:t xml:space="preserve"> following areas: Education, Politics, Mass </w:t>
      </w:r>
      <w:r w:rsidR="0054343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34ED5">
        <w:rPr>
          <w:rFonts w:ascii="Times New Roman" w:hAnsi="Times New Roman" w:cs="Times New Roman"/>
          <w:sz w:val="24"/>
          <w:szCs w:val="24"/>
          <w:lang w:val="en-US"/>
        </w:rPr>
        <w:t>edia</w:t>
      </w:r>
      <w:r w:rsidR="005434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34ED5">
        <w:rPr>
          <w:rFonts w:ascii="Times New Roman" w:hAnsi="Times New Roman" w:cs="Times New Roman"/>
          <w:sz w:val="24"/>
          <w:szCs w:val="24"/>
          <w:lang w:val="en-US"/>
        </w:rPr>
        <w:t>Healthcare</w:t>
      </w:r>
      <w:r w:rsidR="00543431">
        <w:rPr>
          <w:rFonts w:ascii="Times New Roman" w:hAnsi="Times New Roman" w:cs="Times New Roman"/>
          <w:sz w:val="24"/>
          <w:szCs w:val="24"/>
          <w:lang w:val="en-US"/>
        </w:rPr>
        <w:t>, and Technology</w:t>
      </w:r>
      <w:r w:rsidR="00534ED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EBA" w:rsidP="00F62BDD" w:rsidRDefault="00F62BDD" w14:paraId="62539210" w14:textId="5CF36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ECC0206" w:rsidR="00380EBA">
        <w:rPr>
          <w:rFonts w:ascii="Times New Roman" w:hAnsi="Times New Roman" w:cs="Times New Roman"/>
          <w:sz w:val="24"/>
          <w:szCs w:val="24"/>
          <w:lang w:val="en-US"/>
        </w:rPr>
        <w:t xml:space="preserve">2.2 Duration of the exam is 2,5 hours (150 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minutes</w:t>
      </w:r>
      <w:r w:rsidRPr="0ECC0206" w:rsidR="00380EB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ECC0206" w:rsidR="2C6A4AC2">
        <w:rPr>
          <w:rFonts w:ascii="Times New Roman" w:hAnsi="Times New Roman" w:cs="Times New Roman"/>
          <w:sz w:val="24"/>
          <w:szCs w:val="24"/>
          <w:lang w:val="en-US"/>
        </w:rPr>
        <w:t>from the start of examination time</w:t>
      </w:r>
      <w:r w:rsidRPr="0ECC0206" w:rsidR="00380EBA">
        <w:rPr>
          <w:rFonts w:ascii="Times New Roman" w:hAnsi="Times New Roman" w:cs="Times New Roman"/>
          <w:sz w:val="24"/>
          <w:szCs w:val="24"/>
          <w:lang w:val="en-US"/>
        </w:rPr>
        <w:t>. The essay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is evaluated according to the given assessment rubric. See below</w:t>
      </w:r>
      <w:r w:rsidRPr="0ECC0206" w:rsidR="00380E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30BFF" w:rsidP="00F62BDD" w:rsidRDefault="00380EBA" w14:paraId="2AA19D42" w14:textId="2427767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3.2.3 </w:t>
      </w:r>
      <w:r w:rsidR="00F62BDD">
        <w:rPr>
          <w:rFonts w:ascii="Times New Roman" w:hAnsi="Times New Roman" w:cs="Times New Roman"/>
          <w:sz w:val="24"/>
          <w:szCs w:val="24"/>
          <w:lang w:val="en-US"/>
        </w:rPr>
        <w:t xml:space="preserve">You will be provided with </w:t>
      </w:r>
      <w:r w:rsidR="00543431">
        <w:rPr>
          <w:rFonts w:ascii="Times New Roman" w:hAnsi="Times New Roman" w:cs="Times New Roman"/>
          <w:sz w:val="24"/>
          <w:szCs w:val="24"/>
          <w:lang w:val="en-US"/>
        </w:rPr>
        <w:t xml:space="preserve">two pieces of </w:t>
      </w:r>
      <w:r w:rsidR="00F62BDD">
        <w:rPr>
          <w:rFonts w:ascii="Times New Roman" w:hAnsi="Times New Roman" w:cs="Times New Roman"/>
          <w:sz w:val="24"/>
          <w:szCs w:val="24"/>
          <w:lang w:val="en-US"/>
        </w:rPr>
        <w:t xml:space="preserve">paper for the exam stamped by the Dean’s Office </w:t>
      </w:r>
      <w:r w:rsidR="00E05445">
        <w:rPr>
          <w:rFonts w:ascii="Times New Roman" w:hAnsi="Times New Roman" w:cs="Times New Roman"/>
          <w:sz w:val="24"/>
          <w:szCs w:val="24"/>
          <w:lang w:val="en-US"/>
        </w:rPr>
        <w:t xml:space="preserve">and give back all </w:t>
      </w:r>
      <w:r w:rsidR="0054343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05445">
        <w:rPr>
          <w:rFonts w:ascii="Times New Roman" w:hAnsi="Times New Roman" w:cs="Times New Roman"/>
          <w:sz w:val="24"/>
          <w:szCs w:val="24"/>
          <w:lang w:val="en-US"/>
        </w:rPr>
        <w:t>papers</w:t>
      </w:r>
      <w:r w:rsidR="00543431">
        <w:rPr>
          <w:rFonts w:ascii="Times New Roman" w:hAnsi="Times New Roman" w:cs="Times New Roman"/>
          <w:sz w:val="24"/>
          <w:szCs w:val="24"/>
          <w:lang w:val="en-US"/>
        </w:rPr>
        <w:t xml:space="preserve"> (answer sheet and notes/draft)</w:t>
      </w:r>
      <w:r w:rsidR="00E05445">
        <w:rPr>
          <w:rFonts w:ascii="Times New Roman" w:hAnsi="Times New Roman" w:cs="Times New Roman"/>
          <w:sz w:val="24"/>
          <w:szCs w:val="24"/>
          <w:lang w:val="en-US"/>
        </w:rPr>
        <w:t xml:space="preserve"> to the instructor after </w:t>
      </w:r>
      <w:r w:rsidR="0054343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30BFF">
        <w:rPr>
          <w:rFonts w:ascii="Times New Roman" w:hAnsi="Times New Roman" w:cs="Times New Roman"/>
          <w:sz w:val="24"/>
          <w:szCs w:val="24"/>
          <w:lang w:val="en-US"/>
        </w:rPr>
        <w:t xml:space="preserve">completion. </w:t>
      </w:r>
    </w:p>
    <w:p w:rsidRPr="00F62BDD" w:rsidR="00F62BDD" w:rsidP="00F62BDD" w:rsidRDefault="00F62BDD" w14:paraId="40C9A4E3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3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5"/>
        <w:gridCol w:w="954"/>
      </w:tblGrid>
      <w:tr w:rsidRPr="004B0988" w:rsidR="004B0988" w:rsidTr="463FF945" w14:paraId="7D0D00D7" w14:textId="77777777">
        <w:trPr>
          <w:trHeight w:val="300"/>
        </w:trPr>
        <w:tc>
          <w:tcPr>
            <w:tcW w:w="8385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auto"/>
            <w:tcMar/>
            <w:hideMark/>
          </w:tcPr>
          <w:p w:rsidRPr="004B0988" w:rsidR="004B0988" w:rsidP="004B0988" w:rsidRDefault="004B0988" w14:paraId="187FFC5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Final Comparison Essay C1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54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auto"/>
            <w:tcMar/>
            <w:hideMark/>
          </w:tcPr>
          <w:p w:rsidRPr="004B0988" w:rsidR="004B0988" w:rsidP="004B0988" w:rsidRDefault="004B0988" w14:paraId="0100216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Score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7CD7164D" w14:textId="77777777">
        <w:trPr>
          <w:trHeight w:val="300"/>
        </w:trPr>
        <w:tc>
          <w:tcPr>
            <w:tcW w:w="8385" w:type="dxa"/>
            <w:tcBorders>
              <w:top w:val="single" w:color="4472C4" w:themeColor="accen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4B0988" w:rsidR="004B0988" w:rsidP="004B0988" w:rsidRDefault="004B0988" w14:paraId="76E6354F" w14:textId="6719336B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1.</w:t>
            </w:r>
            <w:r w:rsidR="0008287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Intro: The thesis statement is clear, specific</w:t>
            </w:r>
            <w:r w:rsidR="003A6F92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and logically coherent</w:t>
            </w:r>
            <w:r w:rsidR="00543431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  <w:tc>
          <w:tcPr>
            <w:tcW w:w="954" w:type="dxa"/>
            <w:tcBorders>
              <w:top w:val="single" w:color="4472C4" w:themeColor="accen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4B0988" w:rsidR="004B0988" w:rsidP="004B0988" w:rsidRDefault="004B0988" w14:paraId="78981128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shd w:val="clear" w:color="auto" w:fill="C0C0C0"/>
                <w:lang w:val="en-US"/>
                <w14:ligatures w14:val="none"/>
              </w:rPr>
              <w:t>5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7B87A60A" w14:textId="77777777">
        <w:trPr>
          <w:trHeight w:val="300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4B0988" w:rsidR="004B0988" w:rsidP="004B0988" w:rsidRDefault="004B0988" w14:paraId="627F8207" w14:textId="68733E9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2. Body: </w:t>
            </w:r>
            <w:r w:rsidR="0088761D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Each</w:t>
            </w: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topic sentence </w:t>
            </w: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state</w:t>
            </w:r>
            <w:r w:rsidR="0088761D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</w:t>
            </w: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</w:t>
            </w: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tem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1, item 2,</w:t>
            </w:r>
            <w:r w:rsidR="00313ACC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and 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one </w:t>
            </w: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point relevant to the essay t</w:t>
            </w:r>
            <w:r w:rsidRPr="004B0988" w:rsidR="65CEF6D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itle</w:t>
            </w:r>
            <w:r w:rsidR="0088761D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(overall, two points 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discussed </w:t>
            </w:r>
            <w:r w:rsidR="0088761D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in two 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separate </w:t>
            </w:r>
            <w:r w:rsidR="0088761D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paragraphs 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comparing/contrasting item 1 and item 2</w:t>
            </w:r>
            <w:r w:rsidR="00887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4B0988" w:rsidR="004B0988" w:rsidP="004B0988" w:rsidRDefault="004B0988" w14:paraId="50AC42B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shd w:val="clear" w:color="auto" w:fill="C0C0C0"/>
                <w:lang w:val="en-US"/>
                <w14:ligatures w14:val="none"/>
              </w:rPr>
              <w:t>20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06E65B95" w14:textId="77777777">
        <w:trPr>
          <w:trHeight w:val="300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4B0988" w:rsidR="004B0988" w:rsidP="004B0988" w:rsidRDefault="004B0988" w14:paraId="1DF9C5BF" w14:textId="42A65163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3.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The supporting sentences expand the idea with at least 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one </w:t>
            </w:r>
            <w:r w:rsidRPr="002428F2" w:rsidR="002428F2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piece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3A6F92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of 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evidence</w:t>
            </w:r>
            <w:r w:rsidR="002428F2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for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428F2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similarity/difference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in a logical way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4B0988" w:rsidR="004B0988" w:rsidP="004B0988" w:rsidRDefault="004B0988" w14:paraId="1223EA7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shd w:val="clear" w:color="auto" w:fill="C0C0C0"/>
                <w:lang w:val="en-US"/>
                <w14:ligatures w14:val="none"/>
              </w:rPr>
              <w:t>20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49B94998" w14:textId="77777777">
        <w:trPr>
          <w:trHeight w:val="300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4B0988" w:rsidR="004B0988" w:rsidP="004B0988" w:rsidRDefault="004B0988" w14:paraId="4E5404C5" w14:textId="0A21080F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 4.</w:t>
            </w:r>
            <w:r w:rsidR="0008287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E2E2B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Each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concluding sentence 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in each paragraph is 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relevant to the topic sentence and flow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logically within the paragraph.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4B0988" w:rsidR="004B0988" w:rsidP="004B0988" w:rsidRDefault="004B0988" w14:paraId="0847E8C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shd w:val="clear" w:color="auto" w:fill="C0C0C0"/>
                <w:lang w:val="en-US"/>
                <w14:ligatures w14:val="none"/>
              </w:rPr>
              <w:t>10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0B1682C5" w14:textId="77777777">
        <w:trPr>
          <w:trHeight w:val="300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E2F3" w:themeFill="accent1" w:themeFillTint="33"/>
            <w:tcMar/>
            <w:hideMark/>
          </w:tcPr>
          <w:p w:rsidRPr="004B0988" w:rsidR="004B0988" w:rsidP="004B0988" w:rsidRDefault="004B0988" w14:paraId="6449345E" w14:textId="4777A419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5.</w:t>
            </w:r>
            <w:r w:rsidR="0008287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543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Conclusion contains summary of main points.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E2F3" w:themeFill="accent1" w:themeFillTint="33"/>
            <w:tcMar/>
            <w:hideMark/>
          </w:tcPr>
          <w:p w:rsidRPr="004B0988" w:rsidR="004B0988" w:rsidP="004B0988" w:rsidRDefault="004B0988" w14:paraId="676AE66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1E85202C" w14:textId="77777777">
        <w:trPr>
          <w:trHeight w:val="585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E2F3" w:themeFill="accent1" w:themeFillTint="33"/>
            <w:tcMar/>
            <w:hideMark/>
          </w:tcPr>
          <w:p w:rsidRPr="004B0988" w:rsidR="004B0988" w:rsidP="004B0988" w:rsidRDefault="004B0988" w14:paraId="79A3889E" w14:textId="4AD16D66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6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 I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n-text citations are formatted in APA. Narrative and parenthetical citations are mandatory.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E2F3" w:themeFill="accent1" w:themeFillTint="33"/>
            <w:tcMar/>
            <w:hideMark/>
          </w:tcPr>
          <w:p w:rsidRPr="004B0988" w:rsidR="004B0988" w:rsidP="004B0988" w:rsidRDefault="004B0988" w14:paraId="11BD196D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78476FB8" w14:textId="77777777">
        <w:trPr>
          <w:trHeight w:val="300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E2F3" w:themeFill="accent1" w:themeFillTint="33"/>
            <w:tcMar/>
            <w:hideMark/>
          </w:tcPr>
          <w:p w:rsidRPr="004B0988" w:rsidR="004B0988" w:rsidP="004B0988" w:rsidRDefault="004B0988" w14:paraId="74300CF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7. Body paragraphs contain a range of cohesive devices (linkers, pronouns, repetitions, etc.).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E2F3" w:themeFill="accent1" w:themeFillTint="33"/>
            <w:tcMar/>
            <w:hideMark/>
          </w:tcPr>
          <w:p w:rsidRPr="004B0988" w:rsidR="004B0988" w:rsidP="004B0988" w:rsidRDefault="004B0988" w14:paraId="726DC5B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7AFC0663" w14:textId="77777777">
        <w:trPr>
          <w:trHeight w:val="300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/>
            <w:hideMark/>
          </w:tcPr>
          <w:p w:rsidRPr="004B0988" w:rsidR="004B0988" w:rsidP="004B0988" w:rsidRDefault="004B0988" w14:paraId="6795EF7C" w14:textId="4C6CE11A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 w:rsid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8. A student </w:t>
            </w:r>
            <w:r w:rsidRPr="004B0988" w:rsidR="196051EC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demonstrates</w:t>
            </w:r>
            <w:r w:rsidRPr="004B0988" w:rsid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a flexible and wide range of academic vocabulary.</w:t>
            </w:r>
            <w:r w:rsidRPr="004B0988" w:rsid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/>
            <w:hideMark/>
          </w:tcPr>
          <w:p w:rsidRPr="004B0988" w:rsidR="004B0988" w:rsidP="004B0988" w:rsidRDefault="004B0988" w14:paraId="7E115BC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69336390" w14:textId="77777777">
        <w:trPr>
          <w:trHeight w:val="300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/>
            <w:hideMark/>
          </w:tcPr>
          <w:p w:rsidRPr="004B0988" w:rsidR="004B0988" w:rsidP="004B0988" w:rsidRDefault="004B0988" w14:paraId="318DFD46" w14:textId="24C93800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 w:rsid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9. A student </w:t>
            </w:r>
            <w:r w:rsidRPr="004B0988" w:rsidR="03AC5234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demonstrates</w:t>
            </w:r>
            <w:r w:rsidRPr="004B0988" w:rsid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a wide range of grammatical structures</w:t>
            </w: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(sentence types, relative clauses, impersonal structures, conditionals, caution language, articles, determiners, infinitive forms of verbs)</w:t>
            </w:r>
            <w:r w:rsidRPr="004B0988" w:rsid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with full flexibility and accuracy with no spelling and punctuation errors.</w:t>
            </w:r>
            <w:r w:rsidRPr="004B0988" w:rsid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/>
            <w:hideMark/>
          </w:tcPr>
          <w:p w:rsidRPr="004B0988" w:rsidR="004B0988" w:rsidP="004B0988" w:rsidRDefault="004B0988" w14:paraId="2F3A434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4B0030CA" w14:textId="77777777">
        <w:trPr>
          <w:trHeight w:val="300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/>
            <w:hideMark/>
          </w:tcPr>
          <w:p w:rsidRPr="004B0988" w:rsidR="004B0988" w:rsidP="004B0988" w:rsidRDefault="004B0988" w14:paraId="737F7FAC" w14:textId="5BC267DA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10.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The word count for the final exam essay is </w:t>
            </w:r>
            <w:r w:rsidRPr="00082873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4</w:t>
            </w:r>
            <w:r w:rsidRPr="004B0988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00-</w:t>
            </w:r>
            <w:r w:rsidRPr="00082873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550</w:t>
            </w:r>
            <w:r w:rsidRPr="004B0988">
              <w:rPr>
                <w:rFonts w:ascii="Times New Roman" w:hAnsi="Times New Roman" w:eastAsia="Times New Roman" w:cs="Times New Roman"/>
                <w:b/>
                <w:bCs/>
                <w:color w:val="FF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 total.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(Intro – 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50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7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words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; Point 1 </w:t>
            </w:r>
            <w:r w:rsidR="00E00267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~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200 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words; 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Point 2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E00267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~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200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words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; Conclusion – 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5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0-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7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 words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).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/>
            <w:hideMark/>
          </w:tcPr>
          <w:p w:rsidRPr="004B0988" w:rsidR="004B0988" w:rsidP="004B0988" w:rsidRDefault="004B0988" w14:paraId="7D51ED0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:rsidR="004B0988" w:rsidRDefault="004B0988" w14:paraId="2A69F3CF" w14:textId="77777777"/>
    <w:p w:rsidR="1BB1FC79" w:rsidP="1BB1FC79" w:rsidRDefault="1BB1FC79" w14:paraId="1F1942EE" w14:textId="3BDCA250">
      <w:pPr>
        <w:pStyle w:val="a"/>
      </w:pPr>
    </w:p>
    <w:p w:rsidR="1BB1FC79" w:rsidP="1BB1FC79" w:rsidRDefault="1BB1FC79" w14:paraId="7A659F47" w14:textId="4C102D39">
      <w:pPr>
        <w:pStyle w:val="a"/>
      </w:pPr>
    </w:p>
    <w:p w:rsidR="1BB1FC79" w:rsidP="1BB1FC79" w:rsidRDefault="1BB1FC79" w14:paraId="5931BDE3" w14:textId="131F154B">
      <w:pPr>
        <w:pStyle w:val="a"/>
      </w:pPr>
    </w:p>
    <w:p w:rsidR="1BB1FC79" w:rsidP="1BB1FC79" w:rsidRDefault="1BB1FC79" w14:paraId="6C65A377" w14:textId="2ADCBE89">
      <w:pPr>
        <w:pStyle w:val="a"/>
      </w:pPr>
    </w:p>
    <w:p w:rsidR="746BE6EF" w:rsidP="1BB1FC79" w:rsidRDefault="746BE6EF" w14:paraId="10D7ADE6" w14:textId="12A41851">
      <w:pPr>
        <w:pStyle w:val="a"/>
        <w:rPr>
          <w:sz w:val="72"/>
          <w:szCs w:val="72"/>
        </w:rPr>
      </w:pPr>
      <w:r w:rsidRPr="1BB1FC79" w:rsidR="746BE6EF">
        <w:rPr>
          <w:sz w:val="72"/>
          <w:szCs w:val="72"/>
        </w:rPr>
        <w:t>.....</w:t>
      </w:r>
      <w:r w:rsidRPr="1BB1FC79" w:rsidR="746BE6EF">
        <w:rPr>
          <w:sz w:val="72"/>
          <w:szCs w:val="72"/>
        </w:rPr>
        <w:t>(Johnson, 2019, as cited in Smith, 2021)</w:t>
      </w:r>
      <w:r w:rsidRPr="1BB1FC79" w:rsidR="0BFCA856">
        <w:rPr>
          <w:sz w:val="72"/>
          <w:szCs w:val="72"/>
        </w:rPr>
        <w:t xml:space="preserve"> </w:t>
      </w:r>
      <w:r w:rsidRPr="1BB1FC79" w:rsidR="0BFCA856">
        <w:rPr>
          <w:sz w:val="72"/>
          <w:szCs w:val="72"/>
        </w:rPr>
        <w:t>.....</w:t>
      </w:r>
    </w:p>
    <w:p w:rsidR="1BB1FC79" w:rsidP="1BB1FC79" w:rsidRDefault="1BB1FC79" w14:paraId="12D2F73A" w14:textId="138EB043">
      <w:pPr>
        <w:pStyle w:val="a"/>
        <w:rPr>
          <w:sz w:val="72"/>
          <w:szCs w:val="72"/>
        </w:rPr>
      </w:pPr>
    </w:p>
    <w:p w:rsidR="0BFCA856" w:rsidP="1BB1FC79" w:rsidRDefault="0BFCA856" w14:paraId="5E7BAD21" w14:textId="11D0526F">
      <w:pPr>
        <w:pStyle w:val="a"/>
        <w:jc w:val="center"/>
        <w:rPr>
          <w:sz w:val="72"/>
          <w:szCs w:val="72"/>
        </w:rPr>
      </w:pPr>
      <w:r w:rsidRPr="1BB1FC79" w:rsidR="0BFCA856">
        <w:rPr>
          <w:sz w:val="72"/>
          <w:szCs w:val="72"/>
        </w:rPr>
        <w:t>References</w:t>
      </w:r>
    </w:p>
    <w:p w:rsidR="0BFCA856" w:rsidP="1BB1FC79" w:rsidRDefault="0BFCA856" w14:paraId="7EBABEC5" w14:textId="3665E517">
      <w:pPr>
        <w:pStyle w:val="a"/>
        <w:ind w:left="1350" w:hanging="1350"/>
        <w:jc w:val="left"/>
        <w:rPr>
          <w:i w:val="1"/>
          <w:iCs w:val="1"/>
          <w:sz w:val="72"/>
          <w:szCs w:val="72"/>
        </w:rPr>
      </w:pPr>
      <w:r w:rsidRPr="1BB1FC79" w:rsidR="0BFCA856">
        <w:rPr>
          <w:sz w:val="72"/>
          <w:szCs w:val="72"/>
        </w:rPr>
        <w:t xml:space="preserve">Smith, D.H. (2021) Education system in Great Britain. </w:t>
      </w:r>
      <w:r w:rsidRPr="1BB1FC79" w:rsidR="0BFCA856">
        <w:rPr>
          <w:i w:val="1"/>
          <w:iCs w:val="1"/>
          <w:sz w:val="72"/>
          <w:szCs w:val="72"/>
        </w:rPr>
        <w:t>Glo</w:t>
      </w:r>
      <w:r w:rsidRPr="1BB1FC79" w:rsidR="71B5B152">
        <w:rPr>
          <w:i w:val="1"/>
          <w:iCs w:val="1"/>
          <w:sz w:val="72"/>
          <w:szCs w:val="72"/>
        </w:rPr>
        <w:t>bal Forum, vol.5</w:t>
      </w:r>
    </w:p>
    <w:p w:rsidR="2EA26686" w:rsidP="1BB1FC79" w:rsidRDefault="2EA26686" w14:paraId="1CEACD46" w14:textId="37DC2677">
      <w:pPr>
        <w:pStyle w:val="a"/>
        <w:ind w:left="1350" w:hanging="1350"/>
        <w:jc w:val="left"/>
        <w:rPr>
          <w:i w:val="1"/>
          <w:iCs w:val="1"/>
          <w:sz w:val="72"/>
          <w:szCs w:val="72"/>
        </w:rPr>
      </w:pPr>
      <w:r w:rsidRPr="1BB1FC79" w:rsidR="2EA26686">
        <w:rPr>
          <w:i w:val="1"/>
          <w:iCs w:val="1"/>
          <w:sz w:val="72"/>
          <w:szCs w:val="72"/>
        </w:rPr>
        <w:t xml:space="preserve">Lee, </w:t>
      </w:r>
    </w:p>
    <w:sectPr w:rsidR="004B0988">
      <w:headerReference w:type="default" r:id="rId9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5D32" w:rsidP="002937C0" w:rsidRDefault="006E5D32" w14:paraId="6DD2A364" w14:textId="77777777">
      <w:pPr>
        <w:spacing w:after="0" w:line="240" w:lineRule="auto"/>
      </w:pPr>
      <w:r>
        <w:separator/>
      </w:r>
    </w:p>
  </w:endnote>
  <w:endnote w:type="continuationSeparator" w:id="0">
    <w:p w:rsidR="006E5D32" w:rsidP="002937C0" w:rsidRDefault="006E5D32" w14:paraId="72E5F7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5D32" w:rsidP="002937C0" w:rsidRDefault="006E5D32" w14:paraId="09FC45BB" w14:textId="77777777">
      <w:pPr>
        <w:spacing w:after="0" w:line="240" w:lineRule="auto"/>
      </w:pPr>
      <w:r>
        <w:separator/>
      </w:r>
    </w:p>
  </w:footnote>
  <w:footnote w:type="continuationSeparator" w:id="0">
    <w:p w:rsidR="006E5D32" w:rsidP="002937C0" w:rsidRDefault="006E5D32" w14:paraId="152492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937C0" w:rsidR="002937C0" w:rsidP="002937C0" w:rsidRDefault="002937C0" w14:paraId="22629748" w14:textId="5C2C89E9">
    <w:pPr>
      <w:rPr>
        <w:rFonts w:ascii="Times New Roman" w:hAnsi="Times New Roman" w:cs="Times New Roman"/>
        <w:b/>
        <w:bCs/>
        <w:lang w:val="en-US"/>
      </w:rPr>
    </w:pPr>
    <w:r w:rsidRPr="002937C0">
      <w:rPr>
        <w:rFonts w:ascii="Times New Roman" w:hAnsi="Times New Roman" w:cs="Times New Roman"/>
        <w:b/>
        <w:bCs/>
        <w:lang w:val="en-US"/>
      </w:rPr>
      <w:t>Final exam policy C1</w:t>
    </w:r>
  </w:p>
  <w:p w:rsidRPr="002937C0" w:rsidR="002937C0" w:rsidP="002937C0" w:rsidRDefault="002937C0" w14:paraId="3B527B66" w14:textId="77777777">
    <w:pPr>
      <w:rPr>
        <w:rFonts w:ascii="Times New Roman" w:hAnsi="Times New Roman" w:cs="Times New Roman"/>
        <w:b/>
        <w:bCs/>
        <w:lang w:val="en-US"/>
      </w:rPr>
    </w:pPr>
    <w:r w:rsidRPr="002937C0">
      <w:rPr>
        <w:rFonts w:ascii="Times New Roman" w:hAnsi="Times New Roman" w:cs="Times New Roman"/>
        <w:b/>
        <w:bCs/>
        <w:lang w:val="en-US"/>
      </w:rPr>
      <w:t>Foreign Language 2</w:t>
    </w:r>
  </w:p>
  <w:p w:rsidRPr="002937C0" w:rsidR="002937C0" w:rsidP="002937C0" w:rsidRDefault="002937C0" w14:paraId="3AE63171" w14:textId="5B243FA5">
    <w:pPr>
      <w:pStyle w:val="a3"/>
      <w:rPr>
        <w:rFonts w:ascii="Times New Roman" w:hAnsi="Times New Roman" w:cs="Times New Roman"/>
      </w:rPr>
    </w:pPr>
    <w:r w:rsidRPr="002937C0">
      <w:rPr>
        <w:rFonts w:ascii="Times New Roman" w:hAnsi="Times New Roman" w:cs="Times New Roman"/>
        <w:b/>
        <w:bCs/>
        <w:lang w:val="en-US"/>
      </w:rPr>
      <w:t>2023-2024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C9"/>
    <w:rsid w:val="00082873"/>
    <w:rsid w:val="002428F2"/>
    <w:rsid w:val="00287EF0"/>
    <w:rsid w:val="002937C0"/>
    <w:rsid w:val="002E2E2B"/>
    <w:rsid w:val="002F7276"/>
    <w:rsid w:val="00313ACC"/>
    <w:rsid w:val="00380EBA"/>
    <w:rsid w:val="003A6F92"/>
    <w:rsid w:val="004B0988"/>
    <w:rsid w:val="004B19F2"/>
    <w:rsid w:val="004C050D"/>
    <w:rsid w:val="00534ED5"/>
    <w:rsid w:val="00543431"/>
    <w:rsid w:val="00637AC9"/>
    <w:rsid w:val="006E5D32"/>
    <w:rsid w:val="00775469"/>
    <w:rsid w:val="0088761D"/>
    <w:rsid w:val="00A0737B"/>
    <w:rsid w:val="00B469B8"/>
    <w:rsid w:val="00C91234"/>
    <w:rsid w:val="00CA1BE2"/>
    <w:rsid w:val="00D30BFF"/>
    <w:rsid w:val="00E00267"/>
    <w:rsid w:val="00E05445"/>
    <w:rsid w:val="00F325CC"/>
    <w:rsid w:val="00F62BDD"/>
    <w:rsid w:val="00FA62E6"/>
    <w:rsid w:val="02D1BA54"/>
    <w:rsid w:val="03AC5234"/>
    <w:rsid w:val="06A342F4"/>
    <w:rsid w:val="06B86C1E"/>
    <w:rsid w:val="08A733E9"/>
    <w:rsid w:val="0BFCA856"/>
    <w:rsid w:val="0ECC0206"/>
    <w:rsid w:val="119A4064"/>
    <w:rsid w:val="196051EC"/>
    <w:rsid w:val="1B76B978"/>
    <w:rsid w:val="1BA2010B"/>
    <w:rsid w:val="1BB1FC79"/>
    <w:rsid w:val="1C4D5FE2"/>
    <w:rsid w:val="1ED9A1CD"/>
    <w:rsid w:val="2368A300"/>
    <w:rsid w:val="2C6A4AC2"/>
    <w:rsid w:val="2DE542BF"/>
    <w:rsid w:val="2EA26686"/>
    <w:rsid w:val="3C3D199C"/>
    <w:rsid w:val="3E0043A6"/>
    <w:rsid w:val="41622FDC"/>
    <w:rsid w:val="42D3B4C9"/>
    <w:rsid w:val="42FE003D"/>
    <w:rsid w:val="43B92C19"/>
    <w:rsid w:val="446F852A"/>
    <w:rsid w:val="460B558B"/>
    <w:rsid w:val="463FF945"/>
    <w:rsid w:val="48037ED0"/>
    <w:rsid w:val="598B5311"/>
    <w:rsid w:val="59FCCFAD"/>
    <w:rsid w:val="6426F469"/>
    <w:rsid w:val="65CEF6D8"/>
    <w:rsid w:val="6872E026"/>
    <w:rsid w:val="6F253720"/>
    <w:rsid w:val="71B5B152"/>
    <w:rsid w:val="72696D51"/>
    <w:rsid w:val="744595F8"/>
    <w:rsid w:val="746BE6EF"/>
    <w:rsid w:val="774A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657716"/>
  <w15:chartTrackingRefBased/>
  <w15:docId w15:val="{1F45490D-B40E-4293-AA88-744FD420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4B09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a0"/>
    <w:rsid w:val="004B0988"/>
  </w:style>
  <w:style w:type="character" w:styleId="eop" w:customStyle="1">
    <w:name w:val="eop"/>
    <w:basedOn w:val="a0"/>
    <w:rsid w:val="004B0988"/>
  </w:style>
  <w:style w:type="paragraph" w:styleId="a3">
    <w:name w:val="header"/>
    <w:basedOn w:val="a"/>
    <w:link w:val="a4"/>
    <w:uiPriority w:val="99"/>
    <w:unhideWhenUsed/>
    <w:rsid w:val="002937C0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2937C0"/>
  </w:style>
  <w:style w:type="paragraph" w:styleId="a5">
    <w:name w:val="footer"/>
    <w:basedOn w:val="a"/>
    <w:link w:val="a6"/>
    <w:uiPriority w:val="99"/>
    <w:unhideWhenUsed/>
    <w:rsid w:val="002937C0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29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E4F0659F3530343BF5D1CF9081413DF" ma:contentTypeVersion="15" ma:contentTypeDescription="Создание документа." ma:contentTypeScope="" ma:versionID="3cc6f5364a6c3dd182a1d2957c82060b">
  <xsd:schema xmlns:xsd="http://www.w3.org/2001/XMLSchema" xmlns:xs="http://www.w3.org/2001/XMLSchema" xmlns:p="http://schemas.microsoft.com/office/2006/metadata/properties" xmlns:ns2="07fc452a-5459-483c-92ec-dadd9a801e41" xmlns:ns3="186d69d8-c09f-418a-b654-608c452c53da" targetNamespace="http://schemas.microsoft.com/office/2006/metadata/properties" ma:root="true" ma:fieldsID="04a841aa63c9f551bab6e4416531555e" ns2:_="" ns3:_="">
    <xsd:import namespace="07fc452a-5459-483c-92ec-dadd9a801e41"/>
    <xsd:import namespace="186d69d8-c09f-418a-b654-608c452c53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c452a-5459-483c-92ec-dadd9a801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d69d8-c09f-418a-b654-608c452c53d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07fc452a-5459-483c-92ec-dadd9a801e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064DA-BE5B-4033-96F5-98631F938DA0}"/>
</file>

<file path=customXml/itemProps2.xml><?xml version="1.0" encoding="utf-8"?>
<ds:datastoreItem xmlns:ds="http://schemas.openxmlformats.org/officeDocument/2006/customXml" ds:itemID="{2EACA0E2-4D09-44D2-A544-9562E9E2DD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C5EA51-5AEF-4595-B364-5EB8A178053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Dauren</dc:creator>
  <keywords/>
  <dc:description/>
  <lastModifiedBy>Yevgeniya Verba</lastModifiedBy>
  <revision>7</revision>
  <dcterms:created xsi:type="dcterms:W3CDTF">2024-02-06T08:45:00.0000000Z</dcterms:created>
  <dcterms:modified xsi:type="dcterms:W3CDTF">2024-02-26T02:45:51.0050048Z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8e9957103e9220e06a80ad758004cbd436510545bc280ea8e2269be44d47d2b9</vt:lpwstr>
  </property>
  <property fmtid="{D5CDD505-2E9C-101B-9397-08002B2CF9AE}" pid="3" name="ContentTypeId">
    <vt:lpwstr>0x0101003E4F0659F3530343BF5D1CF9081413DF</vt:lpwstr>
  </property>
  <property fmtid="{D5CDD505-2E9C-101B-9397-08002B2CF9AE}" pid="4" name="Order">
    <vt:r8>51400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