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2D7F" w14:textId="77777777" w:rsidR="00120FA5" w:rsidRPr="00120FA5" w:rsidRDefault="00120FA5" w:rsidP="00120FA5">
      <w:r w:rsidRPr="00120FA5">
        <w:t>SYSTEM ARCHITECTURE AND ALGORITHMIC DESIGN</w:t>
      </w:r>
      <w:r w:rsidRPr="00120FA5">
        <w:br/>
        <w:t>An Intuitive Explanation of How the System Thinks and Learns</w:t>
      </w:r>
    </w:p>
    <w:p w14:paraId="1F1E119E" w14:textId="77777777" w:rsidR="00120FA5" w:rsidRPr="00120FA5" w:rsidRDefault="00120FA5" w:rsidP="00120FA5">
      <w:r w:rsidRPr="00120FA5">
        <w:t>The architecture of this system was designed with a guiding principle: complex biological problems should not be forced into oversimplified computational pipelines. Genetic diseases arise from interactions across molecular, structural, and clinical scales, and any system attempting to analyze them must reflect that layered complexity while remaining interpretable and controllable. For this reason, the architecture is modular, multimodal, and deliberately transparent in how information flows through it.</w:t>
      </w:r>
    </w:p>
    <w:p w14:paraId="5F96A1E1" w14:textId="77777777" w:rsidR="00120FA5" w:rsidRPr="00120FA5" w:rsidRDefault="00120FA5" w:rsidP="00120FA5">
      <w:r w:rsidRPr="00120FA5">
        <w:t>At the highest level, the system can be understood as a sequence of transformations that gradually convert raw biomedical data into structured, interpretable representations. Each transformation step is designed to answer a specific question. What information in the raw data is meaningful? How do different data modalities relate to one another? Which patterns are consistent, and which may indicate disease-relevant abnormalities?</w:t>
      </w:r>
    </w:p>
    <w:p w14:paraId="30CD1985" w14:textId="77777777" w:rsidR="00120FA5" w:rsidRPr="00120FA5" w:rsidRDefault="00120FA5" w:rsidP="00120FA5">
      <w:r w:rsidRPr="00120FA5">
        <w:t>The process begins with data ingestion and preprocessing. Genomic data typically arrives in formats such as FASTA or VCF files, which encode nucleotide sequences and genetic variants. These raw sequences are not directly suitable for deep learning models, both because of their length and because meaningful biological signals may be sparsely distributed. Preprocessing therefore focuses on representing genetic information in a way that preserves biological context while remaining computationally tractable. Subsequence tokenization, often using k-</w:t>
      </w:r>
      <w:proofErr w:type="spellStart"/>
      <w:r w:rsidRPr="00120FA5">
        <w:t>mers</w:t>
      </w:r>
      <w:proofErr w:type="spellEnd"/>
      <w:r w:rsidRPr="00120FA5">
        <w:t>, allows the system to treat DNA as a structured sequence rather than a flat string of characters. This step is analogous to breaking a sentence into words so that relationships between distant parts of the sentence can be learned.</w:t>
      </w:r>
    </w:p>
    <w:p w14:paraId="4758C28E" w14:textId="77777777" w:rsidR="00120FA5" w:rsidRPr="00120FA5" w:rsidRDefault="00120FA5" w:rsidP="00120FA5">
      <w:r w:rsidRPr="00120FA5">
        <w:t>Biomedical imaging data follows a parallel but distinct preprocessing pathway. Medical images often vary in resolution, intensity distribution, and acquisition protocols. Before modeling begins, images are normalized, resized, and checked for quality to reduce noise introduced by acquisition artifacts rather than underlying biology. The goal of preprocessing here is not to eliminate variation entirely, but to ensure that the model learns from medically meaningful differences rather than technical inconsistencies.</w:t>
      </w:r>
    </w:p>
    <w:p w14:paraId="332CA71D" w14:textId="77777777" w:rsidR="00120FA5" w:rsidRPr="00120FA5" w:rsidRDefault="00120FA5" w:rsidP="00120FA5">
      <w:r w:rsidRPr="00120FA5">
        <w:t>Clinical metadata is handled differently, as it represents contextual rather than structural information. These attributes are encoded in a way that preserves their semantic meaning, ensuring that age, biological sex, or clinical history influence predictions in a controlled and interpretable manner. Importantly, clinical data does not dominate the system; it acts as contextual grounding rather than a shortcut that allows the model to bypass deeper biological reasoning.</w:t>
      </w:r>
    </w:p>
    <w:p w14:paraId="5313E218" w14:textId="77777777" w:rsidR="00120FA5" w:rsidRPr="00120FA5" w:rsidRDefault="00120FA5" w:rsidP="00120FA5">
      <w:r w:rsidRPr="00120FA5">
        <w:lastRenderedPageBreak/>
        <w:t>Once preprocessing is complete, the system transitions into modality-specific feature extraction. Each data type is processed by a specialized encoder designed to respect its structure. For genomic data, transformer-based encoders are used to model long-range dependencies within DNA sequences. These models rely on attention mechanisms that allow the system to weigh relationships between distant genetic regions. This is particularly important in genetics, where regulatory elements may influence gene expression across large genomic distances. Rather than assuming that nearby mutations are always more important, the transformer architecture allows the model to discover which regions interact, regardless of physical proximity.</w:t>
      </w:r>
    </w:p>
    <w:p w14:paraId="3CD59566" w14:textId="77777777" w:rsidR="00120FA5" w:rsidRPr="00120FA5" w:rsidRDefault="00120FA5" w:rsidP="00120FA5">
      <w:r w:rsidRPr="00120FA5">
        <w:t>For biomedical images, the system employs vision transformer architectures rather than conventional convolutional networks alone. Vision transformers divide an image into patches and treat them as a sequence, enabling global attention across the entire image. This allows the model to learn not only local textures, but also higher-level structural relationships. In the context of genetic disease, such global reasoning is important because disease manifestations may involve distributed or subtle changes rather than isolated lesions.</w:t>
      </w:r>
    </w:p>
    <w:p w14:paraId="68D14C5C" w14:textId="77777777" w:rsidR="00120FA5" w:rsidRPr="00120FA5" w:rsidRDefault="00120FA5" w:rsidP="00120FA5">
      <w:r w:rsidRPr="00120FA5">
        <w:t>The clinical metadata encoder serves a complementary role. Instead of extracting spatial or sequential patterns, it embeds contextual variables into a shared representation space. This ensures that downstream components can condition their reasoning on relevant clinical factors without allowing those factors to overwhelm genetic or imaging signals.</w:t>
      </w:r>
    </w:p>
    <w:p w14:paraId="406B4B40" w14:textId="77777777" w:rsidR="00120FA5" w:rsidRPr="00120FA5" w:rsidRDefault="00120FA5" w:rsidP="00120FA5">
      <w:r w:rsidRPr="00120FA5">
        <w:t>The most conceptually important part of the architecture is the fusion layer, where information from different modalities begins to interact. Rather than simply concatenating feature vectors, the system uses cross-modal attention mechanisms. This allows representations derived from genomic data to attend to imaging features, and vice versa. In practical terms, this means the model can learn associations such as certain genetic variants being relevant only when accompanied by specific structural patterns in images, or certain imaging abnormalities becoming significant only under particular genetic contexts. This design mirrors how human experts synthesize information, integrating evidence across domains rather than treating each source independently.</w:t>
      </w:r>
    </w:p>
    <w:p w14:paraId="6F32AA51" w14:textId="77777777" w:rsidR="00120FA5" w:rsidRPr="00120FA5" w:rsidRDefault="00120FA5" w:rsidP="00120FA5">
      <w:r w:rsidRPr="00120FA5">
        <w:t>Following fusion, the system branches into two complementary learning pathways. The supervised learning pathway focuses on tasks where labeled data is available, such as known disease categories or pathogenic variant classifications. This pathway is optimized to produce accurate, stable predictions while remaining interpretable. Care is taken to avoid overly complex decision boundaries that might inflate apparent performance at the cost of generalization.</w:t>
      </w:r>
    </w:p>
    <w:p w14:paraId="05BCDDFD" w14:textId="77777777" w:rsidR="00120FA5" w:rsidRPr="00120FA5" w:rsidRDefault="00120FA5" w:rsidP="00120FA5">
      <w:r w:rsidRPr="00120FA5">
        <w:t xml:space="preserve">In parallel, the unsupervised learning pathway applies clustering algorithms to the learned representations. This pathway is not driven by predefined labels, but by the intrinsic structure of the data. Clustering serves an exploratory role, helping to reveal whether samples naturally </w:t>
      </w:r>
      <w:r w:rsidRPr="00120FA5">
        <w:lastRenderedPageBreak/>
        <w:t>group into subpopulations based on combined genomic and phenotypic features. Importantly, the results of clustering are not treated as definitive biological truths. Instead, they are presented as patterns that may suggest hypotheses for further study, such as potential disease subtypes or variant-phenotype associations that warrant deeper investigation.</w:t>
      </w:r>
    </w:p>
    <w:p w14:paraId="399CF06D" w14:textId="77777777" w:rsidR="00120FA5" w:rsidRPr="00120FA5" w:rsidRDefault="00120FA5" w:rsidP="00120FA5">
      <w:r w:rsidRPr="00120FA5">
        <w:t>Explainability mechanisms are interwoven throughout the architecture rather than appended at the end. Attention weights from transformer models are preserved and analyzed to understand which sequence regions or image patches influenced the model’s reasoning. Feature attribution methods provide quantitative measures of importance, allowing users to trace predictions back to specific inputs. This design choice reflects the understanding that interpretability is most reliable when it is embedded in the model’s structure, rather than retrofitted after training.</w:t>
      </w:r>
    </w:p>
    <w:p w14:paraId="54C0644E" w14:textId="77777777" w:rsidR="00120FA5" w:rsidRPr="00120FA5" w:rsidRDefault="00120FA5" w:rsidP="00120FA5">
      <w:r w:rsidRPr="00120FA5">
        <w:t>Another important architectural consideration is uncertainty. Biological systems are inherently noisy, and genetic data often supports probabilistic rather than deterministic conclusions. While the core system focuses on point estimates and attention-based explanations, the architecture is intentionally compatible with extensions such as Bayesian layers or ensemble methods that can express uncertainty. This forward-looking design supports cautious interpretation and responsible deployment.</w:t>
      </w:r>
    </w:p>
    <w:p w14:paraId="73D4F4F3" w14:textId="77777777" w:rsidR="00120FA5" w:rsidRPr="00120FA5" w:rsidRDefault="00120FA5" w:rsidP="00120FA5">
      <w:r w:rsidRPr="00120FA5">
        <w:t>From a software engineering perspective, the architecture is implemented in a modular fashion. Each encoder, fusion mechanism, training routine, and evaluation module is isolated and well-documented. This not only improves readability and maintainability, but also allows individual components to be replaced or extended without destabilizing the entire system. Such modularity is essential for research systems that are expected to evolve as new data types, algorithms, or ethical requirements emerge.</w:t>
      </w:r>
    </w:p>
    <w:p w14:paraId="4BC60EB4" w14:textId="77777777" w:rsidR="00120FA5" w:rsidRPr="00120FA5" w:rsidRDefault="00120FA5" w:rsidP="00120FA5">
      <w:r w:rsidRPr="00120FA5">
        <w:t>In essence, the architecture reflects a philosophical stance as much as a technical one. It assumes that understanding genetic disease requires layered reasoning, cross-domain synthesis, and continuous human oversight. By structuring the system around these principles, the project aims to demonstrate how advanced machine learning can be aligned with biological realism and ethical responsibility rather than pursuing performance metrics in isolation</w:t>
      </w:r>
    </w:p>
    <w:p w14:paraId="16C92C65" w14:textId="77777777" w:rsidR="003F2922" w:rsidRDefault="003F2922"/>
    <w:sectPr w:rsidR="003F2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03"/>
    <w:rsid w:val="00120FA5"/>
    <w:rsid w:val="003F2922"/>
    <w:rsid w:val="00771449"/>
    <w:rsid w:val="009174D8"/>
    <w:rsid w:val="00B85503"/>
    <w:rsid w:val="00BD5285"/>
    <w:rsid w:val="00C377FB"/>
    <w:rsid w:val="00C72C59"/>
    <w:rsid w:val="00C90C5D"/>
    <w:rsid w:val="00DD3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86E0EC-B08D-4D7D-A66C-965445983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5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5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5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5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5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5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5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5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503"/>
    <w:rPr>
      <w:rFonts w:eastAsiaTheme="majorEastAsia" w:cstheme="majorBidi"/>
      <w:color w:val="272727" w:themeColor="text1" w:themeTint="D8"/>
    </w:rPr>
  </w:style>
  <w:style w:type="paragraph" w:styleId="Title">
    <w:name w:val="Title"/>
    <w:basedOn w:val="Normal"/>
    <w:next w:val="Normal"/>
    <w:link w:val="TitleChar"/>
    <w:uiPriority w:val="10"/>
    <w:qFormat/>
    <w:rsid w:val="00B85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503"/>
    <w:pPr>
      <w:spacing w:before="160"/>
      <w:jc w:val="center"/>
    </w:pPr>
    <w:rPr>
      <w:i/>
      <w:iCs/>
      <w:color w:val="404040" w:themeColor="text1" w:themeTint="BF"/>
    </w:rPr>
  </w:style>
  <w:style w:type="character" w:customStyle="1" w:styleId="QuoteChar">
    <w:name w:val="Quote Char"/>
    <w:basedOn w:val="DefaultParagraphFont"/>
    <w:link w:val="Quote"/>
    <w:uiPriority w:val="29"/>
    <w:rsid w:val="00B85503"/>
    <w:rPr>
      <w:i/>
      <w:iCs/>
      <w:color w:val="404040" w:themeColor="text1" w:themeTint="BF"/>
    </w:rPr>
  </w:style>
  <w:style w:type="paragraph" w:styleId="ListParagraph">
    <w:name w:val="List Paragraph"/>
    <w:basedOn w:val="Normal"/>
    <w:uiPriority w:val="34"/>
    <w:qFormat/>
    <w:rsid w:val="00B85503"/>
    <w:pPr>
      <w:ind w:left="720"/>
      <w:contextualSpacing/>
    </w:pPr>
  </w:style>
  <w:style w:type="character" w:styleId="IntenseEmphasis">
    <w:name w:val="Intense Emphasis"/>
    <w:basedOn w:val="DefaultParagraphFont"/>
    <w:uiPriority w:val="21"/>
    <w:qFormat/>
    <w:rsid w:val="00B85503"/>
    <w:rPr>
      <w:i/>
      <w:iCs/>
      <w:color w:val="2F5496" w:themeColor="accent1" w:themeShade="BF"/>
    </w:rPr>
  </w:style>
  <w:style w:type="paragraph" w:styleId="IntenseQuote">
    <w:name w:val="Intense Quote"/>
    <w:basedOn w:val="Normal"/>
    <w:next w:val="Normal"/>
    <w:link w:val="IntenseQuoteChar"/>
    <w:uiPriority w:val="30"/>
    <w:qFormat/>
    <w:rsid w:val="00B85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503"/>
    <w:rPr>
      <w:i/>
      <w:iCs/>
      <w:color w:val="2F5496" w:themeColor="accent1" w:themeShade="BF"/>
    </w:rPr>
  </w:style>
  <w:style w:type="character" w:styleId="IntenseReference">
    <w:name w:val="Intense Reference"/>
    <w:basedOn w:val="DefaultParagraphFont"/>
    <w:uiPriority w:val="32"/>
    <w:qFormat/>
    <w:rsid w:val="00B855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1242</Words>
  <Characters>7080</Characters>
  <Application>Microsoft Office Word</Application>
  <DocSecurity>0</DocSecurity>
  <Lines>59</Lines>
  <Paragraphs>16</Paragraphs>
  <ScaleCrop>false</ScaleCrop>
  <Company/>
  <LinksUpToDate>false</LinksUpToDate>
  <CharactersWithSpaces>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Anubhab Chakraborty</dc:creator>
  <cp:keywords/>
  <dc:description/>
  <cp:lastModifiedBy>Anubhab Chakraborty</cp:lastModifiedBy>
  <cp:revision>2</cp:revision>
  <dcterms:created xsi:type="dcterms:W3CDTF">2026-01-12T00:56:00Z</dcterms:created>
  <dcterms:modified xsi:type="dcterms:W3CDTF">2026-01-12T00:56:00Z</dcterms:modified>
</cp:coreProperties>
</file>