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Pricing 90-Day Bills off 30-Day Policy Futures</w:t>
      </w:r>
    </w:p>
    <w:p>
      <w:pPr>
        <w:spacing w:after="160"/>
      </w:pPr>
      <w:r>
        <w:rPr>
          <w:color w:val="2E75B6"/>
          <w:sz w:val="24"/>
          <w:szCs w:val="24"/>
        </w:rPr>
        <w:t xml:space="preserve">A Framework, Linkage Study, and Trading Strategy for ZQ (30-day Fed Funds) vs SR3 (3-month SOFR)</w:t>
      </w:r>
    </w:p>
    <w:p>
      <w:pPr>
        <w:pBdr>
          <w:bottom w:val="single" w:color="1F3864" w:sz="8" w:space="6"/>
        </w:pBdr>
        <w:spacing w:after="160"/>
      </w:pPr>
      <w:r>
        <w:rPr>
          <w:color w:val="595959"/>
          <w:sz w:val="20"/>
          <w:szCs w:val="20"/>
        </w:rPr>
        <w:t xml:space="preserve">Author: Anubhav Jindal</w:t>
      </w:r>
      <w:r>
        <w:rPr>
          <w:color w:val="595959"/>
          <w:sz w:val="20"/>
          <w:szCs w:val="20"/>
        </w:rPr>
        <w:t xml:space="preserve">      |      Scope: US ZQ–SR3 (per mentor)</w:t>
      </w:r>
      <w:r>
        <w:rPr>
          <w:color w:val="595959"/>
          <w:sz w:val="20"/>
          <w:szCs w:val="20"/>
        </w:rPr>
        <w:t xml:space="preserve">      |      Data: Refinitiv 10-min, 2019–2026</w:t>
      </w:r>
    </w:p>
    <w:p>
      <w:pPr>
        <w:pStyle w:val="Heading1"/>
      </w:pPr>
      <w:r>
        <w:t xml:space="preserve">Executive Summary</w:t>
      </w:r>
    </w:p>
    <w:p>
      <w:pPr>
        <w:spacing w:after="140" w:line="276"/>
      </w:pPr>
      <w:r>
        <w:t xml:space="preserve">This study builds a usable framework for pricing the 90-day US money-market future — the 3-month SOFR contract </w:t>
      </w:r>
      <w:r>
        <w:rPr>
          <w:b/>
          <w:bCs/>
        </w:rPr>
        <w:t xml:space="preserve">SR3 (SRA)</w:t>
      </w:r>
      <w:r>
        <w:t xml:space="preserve"> — off the 30-day Fed Funds future </w:t>
      </w:r>
      <w:r>
        <w:rPr>
          <w:b/>
          <w:bCs/>
        </w:rPr>
        <w:t xml:space="preserve">ZQ (FF)</w:t>
      </w:r>
      <w:r>
        <w:t xml:space="preserve">, links the two products, and backtests a relative-value strategy. The central identity is simple: the 90-day rate equals a </w:t>
      </w:r>
      <w:r>
        <w:rPr>
          <w:b/>
          <w:bCs/>
        </w:rPr>
        <w:t xml:space="preserve">policy-path anchor</w:t>
      </w:r>
      <w:r>
        <w:t xml:space="preserve"> built from the 30-day strip, plus a </w:t>
      </w:r>
      <w:r>
        <w:rPr>
          <w:b/>
          <w:bCs/>
        </w:rPr>
        <w:t xml:space="preserve">premium</w:t>
      </w:r>
      <w:r>
        <w:t xml:space="preserve"> that captures everything the 30-day product cannot see — term premium, SOFR/Fed-funds basis, liquidity, and calendar effects.</w:t>
      </w:r>
    </w:p>
    <w:p>
      <w:pPr>
        <w:spacing w:after="140" w:line="276"/>
      </w:pPr>
      <w:r>
        <w:t xml:space="preserve">After removing a policy-speed artefact, the premium averages near zero but spikes at stress: </w:t>
      </w:r>
      <w:r>
        <w:rPr>
          <w:b/>
          <w:bCs/>
        </w:rPr>
        <w:t xml:space="preserve">−117 bp</w:t>
      </w:r>
      <w:r>
        <w:t xml:space="preserve"> in the March-2020 dash-for-cash and recurring </w:t>
      </w:r>
      <w:r>
        <w:rPr>
          <w:b/>
          <w:bCs/>
        </w:rPr>
        <w:t xml:space="preserve">+30–50 bp</w:t>
      </w:r>
      <w:r>
        <w:t xml:space="preserve"> at quarter-ends. A mean-reversion strategy that fades premium z-scores beyond ±2 returns a </w:t>
      </w:r>
      <w:r>
        <w:rPr>
          <w:b/>
          <w:bCs/>
        </w:rPr>
        <w:t xml:space="preserve">net Sharpe of 1.11</w:t>
      </w:r>
      <w:r>
        <w:t xml:space="preserve"> with no look-ahead — a real but narrow edge (9 trades) that is partly compensation for liquidity risk, and should be traded small.</w:t>
      </w:r>
    </w:p>
    <w:p>
      <w:pPr>
        <w:pStyle w:val="Heading1"/>
      </w:pPr>
      <w:r>
        <w:t xml:space="preserve">1.  Scope, Data, and Method</w:t>
      </w:r>
    </w:p>
    <w:p>
      <w:pPr>
        <w:spacing w:after="140" w:line="276"/>
      </w:pPr>
      <w:r>
        <w:rPr>
          <w:b/>
          <w:bCs/>
        </w:rPr>
        <w:t xml:space="preserve">Products. </w:t>
      </w:r>
      <w:r>
        <w:t xml:space="preserve">Per the mentor's instruction, the deliverable is the US pair only: </w:t>
      </w:r>
      <w:r>
        <w:rPr>
          <w:b/>
          <w:bCs/>
        </w:rPr>
        <w:t xml:space="preserve">ZQ</w:t>
      </w:r>
      <w:r>
        <w:t xml:space="preserve"> = CME 30-Day Fed Funds future (the 30-day policy anchor) and </w:t>
      </w:r>
      <w:r>
        <w:rPr>
          <w:b/>
          <w:bCs/>
        </w:rPr>
        <w:t xml:space="preserve">SR3 / SRA</w:t>
      </w:r>
      <w:r>
        <w:t xml:space="preserve"> = CME 3-Month SOFR future (the 90-day target). The Australian YBA/YIB leg is out of scope here and left as scaffolding for later.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Raw data: </w:t>
      </w:r>
      <w:r>
        <w:t xml:space="preserve">Refinitiv 10-minute OHLCV, 1 Jan 2019 – 26 May 2026; FF c1–c14 and SRA c1–c26 continuation contracts.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Cleaning: </w:t>
      </w:r>
      <w:r>
        <w:t xml:space="preserve">forward-fill a mark across the sparse intraday lattice, then snapshot the implied rate (rate = 100 − price) at the 14:00 Chicago settlement on real trading days.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Panel: </w:t>
      </w:r>
      <w:r>
        <w:t xml:space="preserve">each contract aligned to a business-day calendar and stored as a daily implied-rate series; heavy CSVs are read once and cached.</w:t>
      </w:r>
    </w:p>
    <w:p>
      <w:pPr>
        <w:pStyle w:val="Heading1"/>
      </w:pPr>
      <w:r>
        <w:t xml:space="preserve">2.  Part 1 — A Pricing Framework for the 90-Day Bill</w:t>
      </w:r>
    </w:p>
    <w:p>
      <w:pPr>
        <w:spacing w:after="140" w:line="276"/>
      </w:pPr>
      <w:r>
        <w:t xml:space="preserve">A 30-day future is almost a pure bet on the average overnight policy rate over one month — too short to carry meaningful term or credit premium. The first three contracts therefore give a clean, month-by-month picture of expected policy. Averaging them yields the </w:t>
      </w:r>
      <w:r>
        <w:rPr>
          <w:b/>
          <w:bCs/>
        </w:rPr>
        <w:t xml:space="preserve">anchor</w:t>
      </w:r>
      <w:r>
        <w:t xml:space="preserve">: the 3-month rate implied </w:t>
      </w:r>
      <w:r>
        <w:rPr>
          <w:i/>
          <w:iCs/>
        </w:rPr>
        <w:t xml:space="preserve">purely</w:t>
      </w:r>
      <w:r>
        <w:t xml:space="preserve"> by policy expectations.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color w:val="1F3864"/>
        </w:rPr>
        <w:t xml:space="preserve">anchor  =  mean(FFc1, FFc2, FFc3)        90d rate  =  anchor  +  premium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Unknown" descr="Figure 1 — Front-month implied rates (100 − price). US Fed Funds (ZQ) and 3M SOFR (SR3) track each other closely through the 2020 floor, the 2022–23 hiking cycle, and the 2024–25 cuts." title="Figure 1 — Front-month implied rates (100 − price). US Fed Funds (ZQ) and 3M SOFR (SR3) track each other closely through the 2020 floor, the 2022–23 hiking cycle, and the 2024–25 cu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Front-month implied rates (100 − price). US Fed Funds (ZQ) and 3M SOFR (SR3) track each other closely through the 2020 floor, the 2022–23 hiking cycle, and the 2024–25 cuts.</w:t>
      </w:r>
    </w:p>
    <w:p>
      <w:pPr>
        <w:spacing w:after="140" w:line="276"/>
      </w:pPr>
      <w:r>
        <w:t xml:space="preserve">The naive spread (SRA − anchor) is </w:t>
      </w:r>
      <w:r>
        <w:rPr>
          <w:b/>
          <w:bCs/>
        </w:rPr>
        <w:t xml:space="preserve">contaminated</w:t>
      </w:r>
      <w:r>
        <w:t xml:space="preserve">: the front SOFR contract references the current, partly-elapsed quarter while the anchor looks fully forward, so during fast hikes/cuts the spread is driven by the </w:t>
      </w:r>
      <w:r>
        <w:rPr>
          <w:i/>
          <w:iCs/>
        </w:rPr>
        <w:t xml:space="preserve">speed</w:t>
      </w:r>
      <w:r>
        <w:t xml:space="preserve"> of policy, not by any premium — its correlation with the curve slope (FFc3 − FFc1) is </w:t>
      </w:r>
      <w:r>
        <w:rPr>
          <w:b/>
          <w:bCs/>
        </w:rPr>
        <w:t xml:space="preserve">−0.81</w:t>
      </w:r>
      <w:r>
        <w:t xml:space="preserve">. Regressing out the slope removes this entirely (correlation → 0; standard deviation falls from 32 bp to 19 bp). The residual is the genuine premium.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933825"/>
            <wp:effectExtent t="0" r="0" b="0" l="0"/>
            <wp:docPr id="1" name="Unknown-2" descr="Figure 2 — Top: 90-day SOFR vs the 30-day-implied policy anchor. Middle: the raw spread, dominated by policy speed (contaminated). Bottom: the clean, slope-adjusted premium — term + basis + liquidity." title="Figure 2 — Top: 90-day SOFR vs the 30-day-implied policy anchor. Middle: the raw spread, dominated by policy speed (contaminated). Bottom: the clean, slope-adjusted premium — term + basis + liquid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Top: 90-day SOFR vs the 30-day-implied policy anchor. Middle: the raw spread, dominated by policy speed (contaminated). Bottom: the clean, slope-adjusted premium — term + basis + liquidity.</w:t>
      </w:r>
    </w:p>
    <w:p>
      <w:pPr>
        <w:pStyle w:val="Heading1"/>
      </w:pPr>
      <w:r>
        <w:t xml:space="preserve">3.  Part 2 — Linking 30-Day and 90-Day Pricing</w:t>
      </w:r>
    </w:p>
    <w:p>
      <w:pPr>
        <w:pStyle w:val="Heading2"/>
      </w:pPr>
      <w:r>
        <w:t xml:space="preserve">3.1  Rich / cheap signal (spread + z-score)</w:t>
      </w:r>
    </w:p>
    <w:p>
      <w:pPr>
        <w:spacing w:after="140" w:line="276"/>
      </w:pPr>
      <w:r>
        <w:t xml:space="preserve">Standardising the premium against its trailing one-year history gives a rich/cheap signal. A </w:t>
      </w:r>
      <w:r>
        <w:rPr>
          <w:b/>
          <w:bCs/>
        </w:rPr>
        <w:t xml:space="preserve">5 bp volatility floor</w:t>
      </w:r>
      <w:r>
        <w:t xml:space="preserve"> prevents the near-zero 2020–21 ZIRP volatility from manufacturing false signals on trivial moves. Readings beyond </w:t>
      </w:r>
      <w:r>
        <w:rPr>
          <w:b/>
          <w:bCs/>
        </w:rPr>
        <w:t xml:space="preserve">+2</w:t>
      </w:r>
      <w:r>
        <w:t xml:space="preserve"> mark the 90-day as rich (fade short); below </w:t>
      </w:r>
      <w:r>
        <w:rPr>
          <w:b/>
          <w:bCs/>
        </w:rPr>
        <w:t xml:space="preserve">−2</w:t>
      </w:r>
      <w:r>
        <w:t xml:space="preserve">, cheap (fade long). Because the premium mean-reverts with an ~8-day half-life, these extremes tend to snap back.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Unknown-3" descr="Figure 3 — The 90-day premium with its rolling ±2σ band (top) and z-score with shaded entry zones (bottom). Note the asymmetry: far more rich (red) than cheap (blue) episodes." title="Figure 3 — The 90-day premium with its rolling ±2σ band (top) and z-score with shaded entry zones (bottom). Note the asymmetry: far more rich (red) than cheap (blue) epis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The 90-day premium with its rolling ±2σ band (top) and z-score with shaded entry zones (bottom). Note the asymmetry: far more rich (red) than cheap (blue) episodes.</w:t>
      </w:r>
    </w:p>
    <w:p>
      <w:pPr>
        <w:pStyle w:val="Heading2"/>
      </w:pPr>
      <w:r>
        <w:t xml:space="preserve">3.2  Lead–lag: does the 30-day move first?</w:t>
      </w:r>
    </w:p>
    <w:p>
      <w:pPr>
        <w:spacing w:after="140" w:line="276"/>
      </w:pPr>
      <w:r>
        <w:t xml:space="preserve">At daily frequency the </w:t>
      </w:r>
      <w:r>
        <w:rPr>
          <w:b/>
          <w:bCs/>
        </w:rPr>
        <w:t xml:space="preserve">forward</w:t>
      </w:r>
      <w:r>
        <w:t xml:space="preserve"> 90-day (SRAc2) moves essentially </w:t>
      </w:r>
      <w:r>
        <w:rPr>
          <w:b/>
          <w:bCs/>
        </w:rPr>
        <w:t xml:space="preserve">contemporaneously</w:t>
      </w:r>
      <w:r>
        <w:t xml:space="preserve"> with the 30-day path (cross-correlation peaks at lag 0, rising to 0.31 at a 5-day horizon) — both are driven by the same policy/rates factor. The </w:t>
      </w:r>
      <w:r>
        <w:rPr>
          <w:b/>
          <w:bCs/>
        </w:rPr>
        <w:t xml:space="preserve">front</w:t>
      </w:r>
      <w:r>
        <w:t xml:space="preserve"> 90-day (SRAc1) is partly locked to already-realised SOFR, so it barely co-moves and shows only a weak 30-day-leads-by-two-days effect. A sharper test of who reacts first to FOMC decisions would require intraday data.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Unknown-5" descr="Figure 4 — Lead-lag cross-correlation. The forward 90d (green) peaks at lag 0 (moves with the 30d); the front 90d (blue) is weak with a slight 30d-leads bump at +2." title="Figure 4 — Lead-lag cross-correlation. The forward 90d (green) peaks at lag 0 (moves with the 30d); the front 90d (blue) is weak with a slight 30d-leads bump at +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 — Lead-lag cross-correlation. The forward 90d (green) peaks at lag 0 (moves with the 30d); the front 90d (blue) is weak with a slight 30d-leads bump at +2.</w:t>
      </w:r>
    </w:p>
    <w:p>
      <w:pPr>
        <w:pStyle w:val="Heading1"/>
      </w:pPr>
      <w:r>
        <w:t xml:space="preserve">4.  Part 3 — Trading Strategy and Backtest</w:t>
      </w:r>
    </w:p>
    <w:p>
      <w:pPr>
        <w:spacing w:after="140" w:line="276"/>
      </w:pPr>
      <w:r>
        <w:rPr>
          <w:b/>
          <w:bCs/>
        </w:rPr>
        <w:t xml:space="preserve">Strategy (mean reversion). </w:t>
      </w:r>
      <w:r>
        <w:t xml:space="preserve">Enter when |z| &gt; 2 — short the premium when the 90-day is rich, long when cheap — and exit toward the mean (|z| &lt; 0.5). The traded object is the premium spread: long/short SR3 versus the FF strip, slope-hedged.</w:t>
      </w:r>
    </w:p>
    <w:p>
      <w:pPr>
        <w:spacing w:after="140" w:line="276"/>
      </w:pPr>
      <w:r>
        <w:rPr>
          <w:b/>
          <w:bCs/>
        </w:rPr>
        <w:t xml:space="preserve">No look-ahead. </w:t>
      </w:r>
      <w:r>
        <w:t xml:space="preserve">The slope beta is re-estimated on an expanding window; the z-score uses trailing statistics; trades execute the next day; each turnover pays a 1 bp round-trip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(net of costs)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 window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2020 – May 2026 (1,407 days)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PnL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+517 bp  (gross +535 bp)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1.11  (gross 1.14)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drawdown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−29 bp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Trades / hit rate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trades / 100% profitable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in market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16% of days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Robustness (param sweep)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Sharpe 0.75–1.11, always positive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Unknown-4" descr="Figure 5 — Strategy equity curve (gross vs net of 1 bp cost) and position. The edge is concentrated in the 2022 repricing and the quarter-end funding episodes of 2024–25." title="Figure 5 — Strategy equity curve (gross vs net of 1 bp cost) and position. The edge is concentrated in the 2022 repricing and the quarter-end funding episodes of 2024–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 — Strategy equity curve (gross vs net of 1 bp cost) and position. The edge is concentrated in the 2022 repricing and the quarter-end funding episodes of 2024–25.</w:t>
      </w:r>
    </w:p>
    <w:p>
      <w:pPr>
        <w:spacing w:after="140" w:line="276"/>
      </w:pPr>
      <w:r>
        <w:t xml:space="preserve">The result is </w:t>
      </w:r>
      <w:r>
        <w:rPr>
          <w:b/>
          <w:bCs/>
        </w:rPr>
        <w:t xml:space="preserve">robust, not curve-fit</w:t>
      </w:r>
      <w:r>
        <w:t xml:space="preserve">: across entry thresholds 1.5–2.5, exit 0–0.5, and costs 0.5–2 bp, the net Sharpe stays between 0.75 and 1.11 and cumulative PnL stays positive.</w:t>
      </w:r>
    </w:p>
    <w:p>
      <w:pPr>
        <w:pStyle w:val="Heading1"/>
      </w:pPr>
      <w:r>
        <w:t xml:space="preserve">5.  Answers to the Six Required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Q1. Framework for 90d vs 30d?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90d rate = policy-path anchor mean(FFc1:3) + premium. The 30d strip is a near-pure read of expected policy; the 90d adds a term/basis/liquidity premium.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Q2. Extra premia in SR3 not in ZQ?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 premium + SOFR/Fed-funds basis + liquidity + quarter-end calendar effects (~19 bp std; −117 bp in Mar-2020; +30–50 bp at quarter-ends). Credit is small here because SOFR is near risk-free.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Q3. Does the 30d lead the 90d?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forward 90d (SRAc2) moves contemporaneously with the 30d (shared policy factor, corr up to 0.31 at 5d). The front 90d barely co-moves (locked to realised SOFR), with only a weak 30d-leads-by-2-days effect.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Q4. Trading signal &amp; why it works?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Fade the premium when its trailing-1y z-score exceeds ±2; exit on reversion. Works because the premium mean-reverts (~8-day half-life): dislocations are transient.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Q5. Backtested results?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Sharpe 1.11, +517 bp, max DD −29 bp, 9 trades, 100% hit, no look-ahead; robust across thresholds and cost assumptions.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Q6. Trade it live?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Cautiously and small. Genuine economic logic and positive in every parameter set, but only 9 trades (100% hit is not statistically reliable) and the edge is partly compensation for liquidity/funding risk — carry-with-tail-risk, not arbitrage.</w:t>
            </w:r>
          </w:p>
        </w:tc>
      </w:tr>
    </w:tbl>
    <w:p>
      <w:pPr>
        <w:pStyle w:val="Heading1"/>
      </w:pPr>
      <w:r>
        <w:t xml:space="preserve">6.  Conclusion — Would I Trade It Live?</w:t>
      </w:r>
    </w:p>
    <w:p>
      <w:pPr>
        <w:spacing w:after="140" w:line="276"/>
      </w:pPr>
      <w:r>
        <w:rPr>
          <w:b/>
          <w:bCs/>
        </w:rPr>
        <w:t xml:space="preserve">Cautiously, and small. </w:t>
      </w:r>
      <w:r>
        <w:t xml:space="preserve">The strategy rests on genuine economics — transient dislocations in the 90-day premium revert — and it is positive in every parameter configuration with no look-ahead and a shallow drawdown. But two caveats are decisive. First, the edge rests on only </w:t>
      </w:r>
      <w:r>
        <w:rPr>
          <w:b/>
          <w:bCs/>
        </w:rPr>
        <w:t xml:space="preserve">nine trades</w:t>
      </w:r>
      <w:r>
        <w:t xml:space="preserve">: the 100% hit rate is not statistically reliable and the profit is concentrated in a handful of stress episodes. Second, and more important, the premium is partly </w:t>
      </w:r>
      <w:r>
        <w:rPr>
          <w:b/>
          <w:bCs/>
        </w:rPr>
        <w:t xml:space="preserve">compensation for real liquidity and funding risk</w:t>
      </w:r>
      <w:r>
        <w:t xml:space="preserve">, not a free arbitrage — so this is best understood as harvesting a risk premium with tail risk. In a genuine crisis a short-the-dislocation position can lose badly before it reverts.</w:t>
      </w:r>
    </w:p>
    <w:p>
      <w:pPr>
        <w:spacing w:after="140" w:line="276"/>
      </w:pPr>
      <w:r>
        <w:rPr>
          <w:b/>
          <w:bCs/>
        </w:rPr>
        <w:t xml:space="preserve">Verdict: </w:t>
      </w:r>
      <w:r>
        <w:t xml:space="preserve">paper-trade first, size small, treat it as carry-with-tail-risk rather than arbitrage, and never fade a dislocation that is still widening. The idealised slope-hedged, multi-leg execution and flat 1 bp cost should also be validated against real bid-offer before any live capital.</w:t>
      </w:r>
    </w:p>
    <w:p>
      <w:pPr>
        <w:pBdr>
          <w:top w:val="single" w:color="BFBFBF" w:sz="4" w:space="6"/>
        </w:pBdr>
        <w:spacing w:before="240"/>
      </w:pPr>
      <w:r>
        <w:rPr>
          <w:i/>
          <w:iCs/>
          <w:color w:val="595959"/>
          <w:sz w:val="18"/>
          <w:szCs w:val="18"/>
        </w:rPr>
        <w:t xml:space="preserve">Reproducibility: full pipeline (clean → daily panel → anchor → premium → z-score → backtest) in YBA_assignment.ipynb. Repository: github.com/Anubhav1406/YBA_Assignment.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Interest-Rate Futures Assignment — ZQ vs SR3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f364d7cb84ad5a4ca5a250f1dcc85ba0801b39.png"/><Relationship Id="rId9" Type="http://schemas.openxmlformats.org/officeDocument/2006/relationships/image" Target="media/f8d47eae2dff737e0d58e60125c05e1f38b14a3b.png"/><Relationship Id="rId10" Type="http://schemas.openxmlformats.org/officeDocument/2006/relationships/image" Target="media/76b77bc1ad1a68c5a1699fd6512eed4a8c3a03e4.png"/><Relationship Id="rId11" Type="http://schemas.openxmlformats.org/officeDocument/2006/relationships/image" Target="media/778c340d303a14abbf5f4c2e920a4d9f51070187.png"/><Relationship Id="rId12" Type="http://schemas.openxmlformats.org/officeDocument/2006/relationships/image" Target="media/88a4669d87f0cd58a9c30ba2de62be464c4d910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90-Day Bills off 30-Day Policy Futures (ZQ–SR3)</dc:title>
  <dc:creator>Anubhav Jindal</dc:creator>
  <cp:lastModifiedBy>Un-named</cp:lastModifiedBy>
  <cp:revision>1</cp:revision>
  <dcterms:created xsi:type="dcterms:W3CDTF">2026-06-12T02:56:30.662Z</dcterms:created>
  <dcterms:modified xsi:type="dcterms:W3CDTF">2026-06-12T02:56:30.663Z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