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http://schemas.openxmlformats.org/drawingml/2006/main" xmlns:pic="http://schemas.openxmlformats.org/drawingml/2006/picture" mc:Ignorable="w14 w15 wp14">
  <w:body>
    <w:p>
      <w:pPr>
        <w:spacing w:after="220" w:before="0"/>
        <w:jc w:val="center"/>
      </w:pPr>
      <w:r>
        <w:rPr>
          <w:rFonts w:ascii="Times New Roman" w:cs="Times New Roman" w:eastAsia="Times New Roman" w:hAnsi="Times New Roman"/>
          <w:b/>
          <w:bCs/>
          <w:sz w:val="34"/>
          <w:szCs w:val="34"/>
        </w:rPr>
        <w:t xml:space="preserve">Ssense: A Browser-Native Small Language Model Architecture with a Deterministic Statutory Compliance Layer for Real-Time Privacy Policy Auditing and Network-Level Enforcement under India's DPDP Act, 2023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20" w:before="0"/>
              <w:jc w:val="center"/>
            </w:pPr>
            <w:r>
              <w:rPr>
                <w:rFonts w:ascii="Times New Roman" w:cs="Times New Roman" w:eastAsia="Times New Roman" w:hAnsi="Times New Roman"/>
                <w:sz w:val="22"/>
                <w:szCs w:val="22"/>
              </w:rPr>
              <w:t xml:space="preserve">Anubhav Das</w:t>
            </w:r>
          </w:p>
          <w:p>
            <w:pPr>
              <w:spacing w:after="0" w:before="0"/>
              <w:jc w:val="center"/>
            </w:pPr>
            <w:r>
              <w:rPr>
                <w:rFonts w:ascii="Times New Roman" w:cs="Times New Roman" w:eastAsia="Times New Roman" w:hAnsi="Times New Roman"/>
                <w:i/>
                <w:iCs/>
                <w:sz w:val="18"/>
                <w:szCs w:val="18"/>
              </w:rPr>
              <w:t xml:space="preserve">Department of (to be added)</w:t>
            </w:r>
          </w:p>
          <w:p>
            <w:pPr>
              <w:spacing w:after="0" w:before="0"/>
              <w:jc w:val="center"/>
            </w:pPr>
            <w:r>
              <w:rPr>
                <w:rFonts w:ascii="Times New Roman" w:cs="Times New Roman" w:eastAsia="Times New Roman" w:hAnsi="Times New Roman"/>
                <w:i/>
                <w:iCs/>
                <w:sz w:val="18"/>
                <w:szCs w:val="18"/>
              </w:rPr>
              <w:t xml:space="preserve">Institute of Engineering and Management</w:t>
            </w:r>
          </w:p>
          <w:p>
            <w:pPr>
              <w:spacing w:after="0" w:before="0"/>
              <w:jc w:val="center"/>
            </w:pPr>
            <w:r>
              <w:rPr>
                <w:rFonts w:ascii="Times New Roman" w:cs="Times New Roman" w:eastAsia="Times New Roman" w:hAnsi="Times New Roman"/>
                <w:sz w:val="18"/>
                <w:szCs w:val="18"/>
              </w:rPr>
              <w:t xml:space="preserve">India</w:t>
            </w:r>
          </w:p>
          <w:p>
            <w:pPr>
              <w:spacing w:after="0" w:before="0"/>
              <w:jc w:val="center"/>
            </w:pPr>
            <w:r>
              <w:rPr>
                <w:rFonts w:ascii="Times New Roman" w:cs="Times New Roman" w:eastAsia="Times New Roman" w:hAnsi="Times New Roman"/>
                <w:sz w:val="18"/>
                <w:szCs w:val="18"/>
              </w:rPr>
              <w:t xml:space="preserve">email: (to be added)</w:t>
            </w:r>
          </w:p>
        </w:tc>
        <w:tc>
          <w:tcPr>
            <w:tcW w:type="dxa" w:w="4819"/>
            <w:tcBorders>
              <w:top w:val="none" w:color="FFFFFF" w:sz="0"/>
              <w:left w:val="none" w:color="FFFFFF" w:sz="0"/>
              <w:bottom w:val="none" w:color="FFFFFF" w:sz="0"/>
              <w:right w:val="none" w:color="FFFFFF" w:sz="0"/>
            </w:tcBorders>
          </w:tcPr>
          <w:p>
            <w:pPr>
              <w:spacing w:after="20" w:before="0"/>
              <w:jc w:val="center"/>
            </w:pPr>
            <w:r>
              <w:rPr>
                <w:rFonts w:ascii="Times New Roman" w:cs="Times New Roman" w:eastAsia="Times New Roman" w:hAnsi="Times New Roman"/>
                <w:sz w:val="22"/>
                <w:szCs w:val="22"/>
              </w:rPr>
              <w:t xml:space="preserve">Priyanshu Roy</w:t>
            </w:r>
          </w:p>
          <w:p>
            <w:pPr>
              <w:spacing w:after="0" w:before="0"/>
              <w:jc w:val="center"/>
            </w:pPr>
            <w:r>
              <w:rPr>
                <w:rFonts w:ascii="Times New Roman" w:cs="Times New Roman" w:eastAsia="Times New Roman" w:hAnsi="Times New Roman"/>
                <w:i/>
                <w:iCs/>
                <w:sz w:val="18"/>
                <w:szCs w:val="18"/>
              </w:rPr>
              <w:t xml:space="preserve">Department of (to be added)</w:t>
            </w:r>
          </w:p>
          <w:p>
            <w:pPr>
              <w:spacing w:after="0" w:before="0"/>
              <w:jc w:val="center"/>
            </w:pPr>
            <w:r>
              <w:rPr>
                <w:rFonts w:ascii="Times New Roman" w:cs="Times New Roman" w:eastAsia="Times New Roman" w:hAnsi="Times New Roman"/>
                <w:i/>
                <w:iCs/>
                <w:sz w:val="18"/>
                <w:szCs w:val="18"/>
              </w:rPr>
              <w:t xml:space="preserve">Institute of Engineering and Management</w:t>
            </w:r>
          </w:p>
          <w:p>
            <w:pPr>
              <w:spacing w:after="0" w:before="0"/>
              <w:jc w:val="center"/>
            </w:pPr>
            <w:r>
              <w:rPr>
                <w:rFonts w:ascii="Times New Roman" w:cs="Times New Roman" w:eastAsia="Times New Roman" w:hAnsi="Times New Roman"/>
                <w:sz w:val="18"/>
                <w:szCs w:val="18"/>
              </w:rPr>
              <w:t xml:space="preserve">India</w:t>
            </w:r>
          </w:p>
          <w:p>
            <w:pPr>
              <w:spacing w:after="0" w:before="0"/>
              <w:jc w:val="center"/>
            </w:pPr>
            <w:r>
              <w:rPr>
                <w:rFonts w:ascii="Times New Roman" w:cs="Times New Roman" w:eastAsia="Times New Roman" w:hAnsi="Times New Roman"/>
                <w:sz w:val="18"/>
                <w:szCs w:val="18"/>
              </w:rPr>
              <w:t xml:space="preserve">email: (to be added)</w:t>
            </w:r>
          </w:p>
        </w:tc>
      </w:tr>
    </w:tbl>
    <w:p>
      <w:pPr>
        <w:spacing w:after="180"/>
      </w:pPr>
    </w:p>
    <w:p>
      <w:pPr>
        <w:spacing w:after="100" w: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India's Digital Personal Data Protection (DPDP) Act, 2023 gives people enforceable rights over their data, but few people read or understand the privacy policies through which organisations describe how they comply. The one DPDP policy checker we found, APLiance, prompts a hosted general-purpose language model to extract attributes, passes them to a symbolic rule engine, and reports results without changing what the browser does. We present Ssense, a browser-native auditing system built on a small language model adapted to the statute. Two LoRA adapters, a forensic auditor and a citizen-facing chatbot, are trained from Qwen2.5-7B-Instruct with rank-stabilised LoRA and Simple Preference Optimisation. A hybrid retrieval index over the Act grounds inference. Output is bound to a JSON schema with an omission gate that drops findings based on a policy's silence, and a deterministic Statutory Compliance Layer adds violations that a policy states outright. Confirmed findings become Manifest V3 network rules, header changes, fingerprinting countermeasures and a Global Privacy Control signal. In a pilot on ten Indian fiduciaries, the system confirmed three violations with no false positives or fabricated citations against the reference labels, although all three resulting actions were warnings. Because ten sites are statistically weak (a perfect score has a Wilson lower bound of 0.72), we state the limits of the pilot, analyse the published APLiance figures, survey the related literature, and give an 18-axis certification protocol and eight planned studies.</w:t>
      </w:r>
    </w:p>
    <w:p>
      <w:pPr>
        <w:spacing w:after="18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DPDP Act, privacy policy auditing, small language models, retrieval-augmented generation, preference optimisation, browser extension, regulatory compliance, network enforcement</w:t>
      </w:r>
    </w:p>
    <w:p>
      <w:pPr>
        <w:pStyle w:val="Heading1"/>
        <w:keepNext/>
        <w:spacing w:after="110" w:before="260"/>
        <w:jc w:val="center"/>
      </w:pPr>
      <w:r>
        <w:rPr>
          <w:rFonts w:ascii="Times New Roman" w:cs="Times New Roman" w:eastAsia="Times New Roman" w:hAnsi="Times New Roman"/>
          <w:sz w:val="20"/>
          <w:szCs w:val="20"/>
        </w:rPr>
        <w:t xml:space="preserve">I. INTRODUCTION</w:t>
      </w:r>
    </w:p>
    <w:p>
      <w:pPr>
        <w:spacing w:after="100" w:before="0" w:line="248"/>
        <w:jc w:val="both"/>
      </w:pPr>
      <w:r>
        <w:rPr>
          <w:rFonts w:ascii="Times New Roman" w:cs="Times New Roman" w:eastAsia="Times New Roman" w:hAnsi="Times New Roman"/>
          <w:sz w:val="19"/>
          <w:szCs w:val="19"/>
        </w:rPr>
        <w:t xml:space="preserve">India's Digital Personal Data Protection (DPDP) Act, 2023</w:t>
      </w:r>
      <w:r>
        <w:rPr>
          <w:rStyle w:val="FootnoteReference"/>
        </w:rPr>
        <w:footnoteReference w:id="1"/>
      </w:r>
      <w:r>
        <w:rPr>
          <w:rFonts w:ascii="Times New Roman" w:cs="Times New Roman" w:eastAsia="Times New Roman" w:hAnsi="Times New Roman"/>
          <w:sz w:val="19"/>
          <w:szCs w:val="19"/>
        </w:rPr>
        <w:t xml:space="preserve"> gives data principals enforceable rights and places specific duties on the organisations that process their data, called data fiduciaries. The Rules issued under the Act</w:t>
      </w:r>
      <w:r>
        <w:rPr>
          <w:rStyle w:val="FootnoteReference"/>
        </w:rPr>
        <w:footnoteReference w:id="2"/>
      </w:r>
      <w:r>
        <w:rPr>
          <w:rFonts w:ascii="Times New Roman" w:cs="Times New Roman" w:eastAsia="Times New Roman" w:hAnsi="Times New Roman"/>
          <w:sz w:val="19"/>
          <w:szCs w:val="19"/>
        </w:rPr>
        <w:t xml:space="preserve"> fill in procedure for notice, consent withdrawal, security safeguards and grievance handling, and the obligations are being phased in over a transition period. The Act applies to digital personal data processed inside India and, in some circumstances, to processing outside India that relates to offering goods or services to people in India. It follows the recognition of privacy as a fundamental right under Article 21 of the Constitution</w:t>
      </w:r>
      <w:r>
        <w:rPr>
          <w:rStyle w:val="FootnoteReference"/>
        </w:rPr>
        <w:footnoteReference w:id="3"/>
      </w:r>
      <w:r>
        <w:rPr>
          <w:rFonts w:ascii="Times New Roman" w:cs="Times New Roman" w:eastAsia="Times New Roman" w:hAnsi="Times New Roman"/>
          <w:sz w:val="19"/>
          <w:szCs w:val="19"/>
        </w:rPr>
        <w:t xml:space="preserve">.</w:t>
      </w:r>
    </w:p>
    <w:p>
      <w:pPr>
        <w:spacing w:after="100" w:before="0" w:line="248"/>
        <w:jc w:val="both"/>
      </w:pPr>
      <w:r>
        <w:rPr>
          <w:rFonts w:ascii="Times New Roman" w:cs="Times New Roman" w:eastAsia="Times New Roman" w:hAnsi="Times New Roman"/>
          <w:sz w:val="19"/>
          <w:szCs w:val="19"/>
        </w:rPr>
        <w:t xml:space="preserve">A fiduciary's privacy policy is the document in which it says what it does with personal data, so it is the obvious artefact against which compliance can be checked. In practice almost nobody checks. A PwC India survey of 3,233 consumers found that only 16% knew the DPDP Act existed and that 69% were unaware they could withdraw consent</w:t>
      </w:r>
      <w:r>
        <w:rPr>
          <w:rStyle w:val="FootnoteReference"/>
        </w:rPr>
        <w:footnoteReference w:id="4"/>
      </w:r>
      <w:r>
        <w:rPr>
          <w:rFonts w:ascii="Times New Roman" w:cs="Times New Roman" w:eastAsia="Times New Roman" w:hAnsi="Times New Roman"/>
          <w:sz w:val="19"/>
          <w:szCs w:val="19"/>
        </w:rPr>
        <w:t>. A survey of human-computer-interaction research on privacy finds that 45% of the 231 studies it selected had no user involvement [1], so evidence on what helps ordinary readers is thinner than the volume of tooling suggests.</w:t>
      </w:r>
    </w:p>
    <w:p>
      <w:pPr>
        <w:spacing w:after="100" w:before="0" w:line="248"/>
        <w:jc w:val="both"/>
      </w:pPr>
      <w:r>
        <w:rPr>
          <w:rFonts w:ascii="Times New Roman" w:cs="Times New Roman" w:eastAsia="Times New Roman" w:hAnsi="Times New Roman"/>
          <w:sz w:val="19"/>
          <w:szCs w:val="19"/>
        </w:rPr>
        <w:t xml:space="preserve">Language models are an obvious candidate for closing this gap, but legal compliance raises two problems. The first is factual reliability. Dahl et al. [2] report that general-purpose models hallucinate on specific, verifiable questions about US federal courts at least 58% of the time for GPT-4 and 88% for Llama 2, and that the models often accepted false premises in the question. Those rates belong to their models and question design and should not be carried over to our system, but they motivate measuring statutory correctness, unsupported claims and abstention, not only fluency. The second problem is what we call </w:t>
      </w:r>
      <w:r>
        <w:rPr>
          <w:rFonts w:ascii="Times New Roman" w:cs="Times New Roman" w:eastAsia="Times New Roman" w:hAnsi="Times New Roman"/>
          <w:i/>
          <w:iCs/>
          <w:sz w:val="19"/>
          <w:szCs w:val="19"/>
        </w:rPr>
        <w:t xml:space="preserve">jurisdictional contamination</w:t>
      </w:r>
      <w:r>
        <w:rPr>
          <w:rFonts w:ascii="Times New Roman" w:cs="Times New Roman" w:eastAsia="Times New Roman" w:hAnsi="Times New Roman"/>
          <w:sz w:val="19"/>
          <w:szCs w:val="19"/>
        </w:rPr>
        <w:t xml:space="preserve">: a model trained mostly on European and American text can carry GDPR or CCPA concepts into an Indian setting where the statute says something different. A related failure is to treat a policy's silence as a violation, flagging an obligation as breached only because the policy does not mention it.</w:t>
      </w:r>
    </w:p>
    <w:p>
      <w:pPr>
        <w:pStyle w:val="Heading2"/>
        <w:keepNext/>
        <w:spacing w:after="80" w:before="160"/>
      </w:pPr>
      <w:r>
        <w:rPr>
          <w:rFonts w:ascii="Times New Roman" w:cs="Times New Roman" w:eastAsia="Times New Roman" w:hAnsi="Times New Roman"/>
          <w:i/>
          <w:iCs/>
          <w:sz w:val="20"/>
          <w:szCs w:val="20"/>
        </w:rPr>
        <w:t xml:space="preserve">A. Limits of existing work</w:t>
      </w:r>
    </w:p>
    <w:p>
      <w:pPr>
        <w:spacing w:after="100" w:before="0" w:line="248"/>
        <w:jc w:val="both"/>
      </w:pPr>
      <w:r>
        <w:rPr>
          <w:rFonts w:ascii="Times New Roman" w:cs="Times New Roman" w:eastAsia="Times New Roman" w:hAnsi="Times New Roman"/>
          <w:sz w:val="19"/>
          <w:szCs w:val="19"/>
        </w:rPr>
        <w:t>Few systems address the DPDP Act directly. APLiance (Dhakar, Sinha and Sural, arXiv:2604.10832, 2026) formalises Sections 1 to 7 of the Act as Attribute-Based Access Control (ABAC) rules, treats a policy as a set of implied access requests, and uses a hosted LLM (GPT-5.4-mini, without fine-tuning) to fill in sixteen attribute values from the policy text. A symbolic rule engine then returns the verdict. On 25 real policies it reports 94.5% attribute-level accuracy and finds none of them fully compliant. It is a preprint, and we found no peer-reviewed DPDP website-policy audit benchmark in the sources we surveyed. Indian legal language-model work exists, for example a LoRA-adapted model for the Indian legal system [3], but it does not evaluate website privacy notices against DPDP requirements.</w:t>
      </w:r>
    </w:p>
    <w:p>
      <w:pPr>
        <w:spacing w:after="100" w:before="0" w:line="248"/>
        <w:jc w:val="both"/>
      </w:pPr>
      <w:r>
        <w:rPr>
          <w:rFonts w:ascii="Times New Roman" w:cs="Times New Roman" w:eastAsia="Times New Roman" w:hAnsi="Times New Roman"/>
          <w:sz w:val="19"/>
          <w:szCs w:val="19"/>
        </w:rPr>
        <w:t>Work outside India is richer but uses other laws. Systems label policy sentences against GDPR Article 13 [4], assess GDPR disclosure terms on web platforms [5], annotate CCPA disclosures [6], and compare declared practices with observed behaviour in browser extensions [7]–[9] and in cookies [10]. These studies use different laws, datasets and metrics, and none acts on its finding in the browser. We therefore treat them as architectural precedents and not as validation for the DPDP Act.</w:t>
      </w:r>
    </w:p>
    <w:p>
      <w:pPr>
        <w:spacing w:after="100" w:before="0" w:line="248"/>
        <w:jc w:val="both"/>
      </w:pPr>
      <w:r>
        <w:rPr>
          <w:rFonts w:ascii="Times New Roman" w:cs="Times New Roman" w:eastAsia="Times New Roman" w:hAnsi="Times New Roman"/>
          <w:sz w:val="19"/>
          <w:szCs w:val="19"/>
        </w:rPr>
        <w:t>Three properties of the closest DPDP checker motivate our design. First, its extraction step relies on a general-purpose cloud model that has not been adapted to the statute, and its own results show that attributes depending on implicit wording are the weak point (64% accuracy for unambiguous consent, 76% for easy withdrawal). Second, policy text leaves the user's machine for a third-party backend and model API. Third, findings are reported but nothing changes in the browser.</w:t>
      </w:r>
    </w:p>
    <w:p>
      <w:pPr>
        <w:pStyle w:val="Heading2"/>
        <w:keepNext/>
        <w:spacing w:after="80" w:before="160"/>
      </w:pPr>
      <w:r>
        <w:rPr>
          <w:rFonts w:ascii="Times New Roman" w:cs="Times New Roman" w:eastAsia="Times New Roman" w:hAnsi="Times New Roman"/>
          <w:i/>
          <w:iCs/>
          <w:sz w:val="20"/>
          <w:szCs w:val="20"/>
        </w:rPr>
        <w:t xml:space="preserve">B. Contributions</w:t>
      </w:r>
    </w:p>
    <w:p>
      <w:pPr>
        <w:spacing w:after="100" w:before="0" w:line="248"/>
        <w:jc w:val="both"/>
      </w:pPr>
      <w:r>
        <w:rPr>
          <w:rFonts w:ascii="Times New Roman" w:cs="Times New Roman" w:eastAsia="Times New Roman" w:hAnsi="Times New Roman"/>
          <w:sz w:val="19"/>
          <w:szCs w:val="19"/>
        </w:rPr>
        <w:t xml:space="preserve">This paper presents Ssense, a browser-native auditing system for the DPDP Act. Its contributions are as follows.</w:t>
      </w:r>
    </w:p>
    <w:p>
      <w:pPr>
        <w:pStyle w:val="ListParagraph"/>
        <w:numPr>
          <w:ilvl w:val="0"/>
          <w:numId w:val="2"/>
        </w:numPr>
        <w:spacing w:after="60" w:line="248"/>
        <w:jc w:val="both"/>
      </w:pPr>
      <w:r>
        <w:rPr>
          <w:rFonts w:ascii="Times New Roman" w:cs="Times New Roman" w:eastAsia="Times New Roman" w:hAnsi="Times New Roman"/>
          <w:b/>
          <w:bCs/>
          <w:sz w:val="19"/>
          <w:szCs w:val="19"/>
        </w:rPr>
        <w:t xml:space="preserve">A dual-track fine-tuned small language model.</w:t>
      </w:r>
      <w:r>
        <w:rPr>
          <w:rFonts w:ascii="Times New Roman" w:cs="Times New Roman" w:eastAsia="Times New Roman" w:hAnsi="Times New Roman"/>
          <w:sz w:val="19"/>
          <w:szCs w:val="19"/>
        </w:rPr>
        <w:t xml:space="preserve"> Two LoRA adapters share one Qwen2.5-7B-Instruct base: a forensic auditor (rank 128) that produces schema-bound audit reports and a citizen-facing chatbot (rank 64). Both are trained with supervised fine-tuning followed by Simple Preference Optimisation (SimPO).</w:t>
      </w:r>
    </w:p>
    <w:p>
      <w:pPr>
        <w:pStyle w:val="ListParagraph"/>
        <w:numPr>
          <w:ilvl w:val="0"/>
          <w:numId w:val="2"/>
        </w:numPr>
        <w:spacing w:after="60" w:line="248"/>
        <w:jc w:val="both"/>
      </w:pPr>
      <w:r>
        <w:rPr>
          <w:rFonts w:ascii="Times New Roman" w:cs="Times New Roman" w:eastAsia="Times New Roman" w:hAnsi="Times New Roman"/>
          <w:b/>
          <w:bCs/>
          <w:sz w:val="19"/>
          <w:szCs w:val="19"/>
        </w:rPr>
        <w:t xml:space="preserve">Statutory pruning to 26 enforceable violation types.</w:t>
      </w:r>
      <w:r>
        <w:rPr>
          <w:rFonts w:ascii="Times New Roman" w:cs="Times New Roman" w:eastAsia="Times New Roman" w:hAnsi="Times New Roman"/>
          <w:sz w:val="19"/>
          <w:szCs w:val="19"/>
        </w:rPr>
        <w:t xml:space="preserve"> Provisions that regulate the Data Protection Board and the Appellate Tribunal are removed mechanically, leaving 26 violation types a fiduciary can commit, each tied to a section, a severity class and a network action in a decision tree.</w:t>
      </w:r>
    </w:p>
    <w:p>
      <w:pPr>
        <w:pStyle w:val="ListParagraph"/>
        <w:numPr>
          <w:ilvl w:val="0"/>
          <w:numId w:val="2"/>
        </w:numPr>
        <w:spacing w:after="60" w:line="248"/>
        <w:jc w:val="both"/>
      </w:pPr>
      <w:r>
        <w:rPr>
          <w:rFonts w:ascii="Times New Roman" w:cs="Times New Roman" w:eastAsia="Times New Roman" w:hAnsi="Times New Roman"/>
          <w:b/>
          <w:bCs/>
          <w:sz w:val="19"/>
          <w:szCs w:val="19"/>
        </w:rPr>
        <w:t xml:space="preserve">A Statutory Compliance Layer (SCL).</w:t>
      </w:r>
      <w:r>
        <w:rPr>
          <w:rFonts w:ascii="Times New Roman" w:cs="Times New Roman" w:eastAsia="Times New Roman" w:hAnsi="Times New Roman"/>
          <w:sz w:val="19"/>
          <w:szCs w:val="19"/>
        </w:rPr>
        <w:t xml:space="preserve"> A deterministic regex layer with safe-harbour filters is unioned with the model's findings, so that violations stated outright in a policy are not lost to attention decay or negation errors.</w:t>
      </w:r>
    </w:p>
    <w:p>
      <w:pPr>
        <w:pStyle w:val="ListParagraph"/>
        <w:numPr>
          <w:ilvl w:val="0"/>
          <w:numId w:val="2"/>
        </w:numPr>
        <w:spacing w:after="60" w:line="248"/>
        <w:jc w:val="both"/>
      </w:pPr>
      <w:r>
        <w:rPr>
          <w:rFonts w:ascii="Times New Roman" w:cs="Times New Roman" w:eastAsia="Times New Roman" w:hAnsi="Times New Roman"/>
          <w:b/>
          <w:bCs/>
          <w:sz w:val="19"/>
          <w:szCs w:val="19"/>
        </w:rPr>
        <w:t xml:space="preserve">An omission firewall.</w:t>
      </w:r>
      <w:r>
        <w:rPr>
          <w:rFonts w:ascii="Times New Roman" w:cs="Times New Roman" w:eastAsia="Times New Roman" w:hAnsi="Times New Roman"/>
          <w:sz w:val="19"/>
          <w:szCs w:val="19"/>
        </w:rPr>
        <w:t xml:space="preserve"> A three-step reasoning schema and a binary </w:t>
      </w:r>
      <w:r>
        <w:rPr>
          <w:rFonts w:ascii="Courier New" w:cs="Courier New" w:eastAsia="Courier New" w:hAnsi="Courier New"/>
          <w:sz w:val="17"/>
          <w:szCs w:val="17"/>
        </w:rPr>
        <w:t xml:space="preserve">omission_check</w:t>
      </w:r>
      <w:r>
        <w:rPr>
          <w:rFonts w:ascii="Times New Roman" w:cs="Times New Roman" w:eastAsia="Times New Roman" w:hAnsi="Times New Roman"/>
          <w:sz w:val="19"/>
          <w:szCs w:val="19"/>
        </w:rPr>
        <w:t xml:space="preserve"> field remove any finding that rests on what a policy leaves unsaid.</w:t>
      </w:r>
    </w:p>
    <w:p>
      <w:pPr>
        <w:pStyle w:val="ListParagraph"/>
        <w:numPr>
          <w:ilvl w:val="0"/>
          <w:numId w:val="2"/>
        </w:numPr>
        <w:spacing w:after="60" w:line="248"/>
        <w:jc w:val="both"/>
      </w:pPr>
      <w:r>
        <w:rPr>
          <w:rFonts w:ascii="Times New Roman" w:cs="Times New Roman" w:eastAsia="Times New Roman" w:hAnsi="Times New Roman"/>
          <w:b/>
          <w:bCs/>
          <w:sz w:val="19"/>
          <w:szCs w:val="19"/>
        </w:rPr>
        <w:t xml:space="preserve">A path from finding to browser behaviour.</w:t>
      </w:r>
      <w:r>
        <w:rPr>
          <w:rFonts w:ascii="Times New Roman" w:cs="Times New Roman" w:eastAsia="Times New Roman" w:hAnsi="Times New Roman"/>
          <w:sz w:val="19"/>
          <w:szCs w:val="19"/>
        </w:rPr>
        <w:t xml:space="preserve"> Confirmed violations become Manifest V3 </w:t>
      </w:r>
      <w:r>
        <w:rPr>
          <w:rFonts w:ascii="Courier New" w:cs="Courier New" w:eastAsia="Courier New" w:hAnsi="Courier New"/>
          <w:sz w:val="17"/>
          <w:szCs w:val="17"/>
        </w:rPr>
        <w:t xml:space="preserve">declarativeNetRequest</w:t>
      </w:r>
      <w:r>
        <w:rPr>
          <w:rFonts w:ascii="Times New Roman" w:cs="Times New Roman" w:eastAsia="Times New Roman" w:hAnsi="Times New Roman"/>
          <w:sz w:val="19"/>
          <w:szCs w:val="19"/>
        </w:rPr>
        <w:t xml:space="preserve"> rules, header rewriting, fingerprinting-API countermeasures and a Global Privacy Control signal.</w:t>
      </w:r>
    </w:p>
    <w:p>
      <w:pPr>
        <w:pStyle w:val="ListParagraph"/>
        <w:numPr>
          <w:ilvl w:val="0"/>
          <w:numId w:val="2"/>
        </w:numPr>
        <w:spacing w:after="60" w:line="248"/>
        <w:jc w:val="both"/>
      </w:pPr>
      <w:r>
        <w:rPr>
          <w:rFonts w:ascii="Times New Roman" w:cs="Times New Roman" w:eastAsia="Times New Roman" w:hAnsi="Times New Roman"/>
          <w:b/>
          <w:bCs/>
          <w:sz w:val="19"/>
          <w:szCs w:val="19"/>
        </w:rPr>
        <w:t xml:space="preserve">A certification protocol and a pilot study.</w:t>
      </w:r>
      <w:r>
        <w:rPr>
          <w:rFonts w:ascii="Times New Roman" w:cs="Times New Roman" w:eastAsia="Times New Roman" w:hAnsi="Times New Roman"/>
          <w:sz w:val="19"/>
          <w:szCs w:val="19"/>
        </w:rPr>
        <w:t xml:space="preserve"> An 18-axis release gate evaluated at Wilson lower bounds, and a pilot over ten Indian fiduciaries, reported with an explicit account of what ten sites can and cannot show.</w:t>
      </w:r>
    </w:p>
    <w:p>
      <w:pPr>
        <w:spacing w:after="100" w:before="0" w:line="248"/>
        <w:jc w:val="both"/>
      </w:pPr>
      <w:r>
        <w:rPr>
          <w:rFonts w:ascii="Times New Roman" w:cs="Times New Roman" w:eastAsia="Times New Roman" w:hAnsi="Times New Roman"/>
          <w:sz w:val="19"/>
          <w:szCs w:val="19"/>
        </w:rPr>
        <w:t>We are careful about two claims. We do not claim to be the first DPDP compliance checker, because APLiance is. We also do not claim that the pilot establishes population-level accuracy; Section VIII shows that a perfect score on ten sites is statistically compatible with a true accuracy near 72%. The comparison with is made on design properties and on its published figures, and where the evaluation units differ we say so.</w:t>
      </w:r>
    </w:p>
    <w:p>
      <w:pPr>
        <w:pStyle w:val="Heading2"/>
        <w:keepNext/>
        <w:spacing w:after="80" w:before="160"/>
      </w:pPr>
      <w:r>
        <w:rPr>
          <w:rFonts w:ascii="Times New Roman" w:cs="Times New Roman" w:eastAsia="Times New Roman" w:hAnsi="Times New Roman"/>
          <w:i/>
          <w:iCs/>
          <w:sz w:val="20"/>
          <w:szCs w:val="20"/>
        </w:rPr>
        <w:t xml:space="preserve">C. Organisation</w:t>
      </w:r>
    </w:p>
    <w:p>
      <w:pPr>
        <w:spacing w:after="100" w:before="0" w:line="248"/>
        <w:jc w:val="both"/>
      </w:pPr>
      <w:r>
        <w:rPr>
          <w:rFonts w:ascii="Times New Roman" w:cs="Times New Roman" w:eastAsia="Times New Roman" w:hAnsi="Times New Roman"/>
          <w:sz w:val="19"/>
          <w:szCs w:val="19"/>
        </w:rPr>
        <w:t xml:space="preserve">Section II gives the legal and technical background. Section III surveys related work. Section IV analyses the research gaps. Section V formalises the legal mapping. Section VI describes the system. Section VII sets out the evaluation protocol, Section VIII reports and analyses results, and Section IX discusses them. Sections X and XI cover limitations and ethics, and Section XII concludes.</w:t>
      </w:r>
    </w:p>
    <w:p>
      <w:pPr>
        <w:pStyle w:val="Heading1"/>
        <w:keepNext/>
        <w:spacing w:after="110" w:before="260"/>
        <w:jc w:val="center"/>
      </w:pPr>
      <w:r>
        <w:rPr>
          <w:rFonts w:ascii="Times New Roman" w:cs="Times New Roman" w:eastAsia="Times New Roman" w:hAnsi="Times New Roman"/>
          <w:sz w:val="20"/>
          <w:szCs w:val="20"/>
        </w:rPr>
        <w:t xml:space="preserve">II. BACKGROUND AND PRELIMINARIES</w:t>
      </w:r>
    </w:p>
    <w:p>
      <w:pPr>
        <w:pStyle w:val="Heading2"/>
        <w:keepNext/>
        <w:spacing w:after="80" w:before="160"/>
      </w:pPr>
      <w:r>
        <w:rPr>
          <w:rFonts w:ascii="Times New Roman" w:cs="Times New Roman" w:eastAsia="Times New Roman" w:hAnsi="Times New Roman"/>
          <w:i/>
          <w:iCs/>
          <w:sz w:val="20"/>
          <w:szCs w:val="20"/>
        </w:rPr>
        <w:t xml:space="preserve">A. DPDP Act provisions relevant to policy auditing</w:t>
      </w:r>
    </w:p>
    <w:p>
      <w:pPr>
        <w:spacing w:after="100" w:before="0" w:line="248"/>
        <w:jc w:val="both"/>
      </w:pPr>
      <w:r>
        <w:rPr>
          <w:rFonts w:ascii="Times New Roman" w:cs="Times New Roman" w:eastAsia="Times New Roman" w:hAnsi="Times New Roman"/>
          <w:sz w:val="19"/>
          <w:szCs w:val="19"/>
        </w:rPr>
        <w:t xml:space="preserve">Table I lists the provisions that a privacy policy can plausibly breach through what it says. Sections 4 to 7 set out the lawful grounds for processing: consent that is free, specific, informed, unconditional and unambiguous (Section 6), the notice that must accompany a consent request (Section 5), and a closed list of legitimate uses that need no consent (Section 7). Section 8 covers a fiduciary's general obligations, including reasonable security safeguards, breach intimation and erasure when consent is withdrawn or the purpose is served. Section 9 restricts processing of children's data, including tracking and behavioural monitoring. Section 13 gives the data principal a right of grievance redress, and Section 16 governs transfers outside India. Sections 18 to 26 constitute and empower the Data Protection Board, and Sections 29 to 32 deal with appeals; these regulate state institutions and cannot be breached by a privacy policy.</w:t>
      </w:r>
    </w:p>
    <w:p>
      <w:pPr>
        <w:keepNext/>
        <w:spacing w:after="70" w:before="140"/>
        <w:jc w:val="center"/>
      </w:pPr>
      <w:r>
        <w:rPr>
          <w:rFonts w:ascii="Times New Roman" w:cs="Times New Roman" w:eastAsia="Times New Roman" w:hAnsi="Times New Roman"/>
          <w:smallCaps/>
          <w:sz w:val="17"/>
          <w:szCs w:val="17"/>
        </w:rPr>
        <w:t xml:space="preserve">TABLE I: </w:t>
      </w:r>
      <w:r>
        <w:rPr>
          <w:rFonts w:ascii="Times New Roman" w:cs="Times New Roman" w:eastAsia="Times New Roman" w:hAnsi="Times New Roman"/>
          <w:sz w:val="16"/>
          <w:szCs w:val="16"/>
        </w:rPr>
        <w:br/>
        <w:t xml:space="preserve">DPDP PROVISIONS THAT BEAR ON PRIVACY-POLICY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3"/>
        <w:gridCol w:w="4038"/>
        <w:gridCol w:w="4167"/>
      </w:tblGrid>
      <w:tr>
        <w:trPr>
          <w:cantSplit/>
          <w:tblHeader/>
        </w:trPr>
        <w:tc>
          <w:tcPr>
            <w:tcW w:type="dxa" w:w="1433"/>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Section</w:t>
            </w:r>
          </w:p>
        </w:tc>
        <w:tc>
          <w:tcPr>
            <w:tcW w:type="dxa" w:w="403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Obligation (paraphrased)</w:t>
            </w:r>
          </w:p>
        </w:tc>
        <w:tc>
          <w:tcPr>
            <w:tcW w:type="dxa" w:w="416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Typical policy defect</w:t>
            </w:r>
          </w:p>
        </w:tc>
      </w:tr>
      <w:tr>
        <w:trPr>
          <w:cantSplit/>
          <w:tblHeader w:val="false"/>
        </w:trPr>
        <w:tc>
          <w:tcPr>
            <w:tcW w:type="dxa" w:w="143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5(1), Rule 3</w:t>
            </w:r>
          </w:p>
        </w:tc>
        <w:tc>
          <w:tcPr>
            <w:tcW w:type="dxa" w:w="40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Itemised notice before or with the consent request</w:t>
            </w:r>
          </w:p>
        </w:tc>
        <w:tc>
          <w:tcPr>
            <w:tcW w:type="dxa" w:w="4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Missing purpose, data categories or rights information</w:t>
            </w:r>
          </w:p>
        </w:tc>
      </w:tr>
      <w:tr>
        <w:trPr>
          <w:cantSplit/>
          <w:tblHeader w:val="false"/>
        </w:trPr>
        <w:tc>
          <w:tcPr>
            <w:tcW w:type="dxa" w:w="143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6(1), 6(4)</w:t>
            </w:r>
          </w:p>
        </w:tc>
        <w:tc>
          <w:tcPr>
            <w:tcW w:type="dxa" w:w="40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Consent free, specific, informed; withdrawal as easy as giving</w:t>
            </w:r>
          </w:p>
        </w:tc>
        <w:tc>
          <w:tcPr>
            <w:tcW w:type="dxa" w:w="4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Bundled consent; withdrawal only by email or letter</w:t>
            </w:r>
          </w:p>
        </w:tc>
      </w:tr>
      <w:tr>
        <w:trPr>
          <w:cantSplit/>
          <w:tblHeader w:val="false"/>
        </w:trPr>
        <w:tc>
          <w:tcPr>
            <w:tcW w:type="dxa" w:w="143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7</w:t>
            </w:r>
          </w:p>
        </w:tc>
        <w:tc>
          <w:tcPr>
            <w:tcW w:type="dxa" w:w="40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Closed list of legitimate uses without consent</w:t>
            </w:r>
          </w:p>
        </w:tc>
        <w:tc>
          <w:tcPr>
            <w:tcW w:type="dxa" w:w="4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Broad commercial rights claimed as “legitimate use”</w:t>
            </w:r>
          </w:p>
        </w:tc>
      </w:tr>
      <w:tr>
        <w:trPr>
          <w:cantSplit/>
          <w:tblHeader w:val="false"/>
        </w:trPr>
        <w:tc>
          <w:tcPr>
            <w:tcW w:type="dxa" w:w="143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8(5), 8(7)</w:t>
            </w:r>
          </w:p>
        </w:tc>
        <w:tc>
          <w:tcPr>
            <w:tcW w:type="dxa" w:w="40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Security safeguards; erasure once purpose is served</w:t>
            </w:r>
          </w:p>
        </w:tc>
        <w:tc>
          <w:tcPr>
            <w:tcW w:type="dxa" w:w="4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Retention “indefinitely”; no safeguards described</w:t>
            </w:r>
          </w:p>
        </w:tc>
      </w:tr>
      <w:tr>
        <w:trPr>
          <w:cantSplit/>
          <w:tblHeader w:val="false"/>
        </w:trPr>
        <w:tc>
          <w:tcPr>
            <w:tcW w:type="dxa" w:w="143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9</w:t>
            </w:r>
          </w:p>
        </w:tc>
        <w:tc>
          <w:tcPr>
            <w:tcW w:type="dxa" w:w="40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Verifiable parental consent; no tracking of children</w:t>
            </w:r>
          </w:p>
        </w:tc>
        <w:tc>
          <w:tcPr>
            <w:tcW w:type="dxa" w:w="4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Behavioural advertising reaching minors</w:t>
            </w:r>
          </w:p>
        </w:tc>
      </w:tr>
      <w:tr>
        <w:trPr>
          <w:cantSplit/>
          <w:tblHeader w:val="false"/>
        </w:trPr>
        <w:tc>
          <w:tcPr>
            <w:tcW w:type="dxa" w:w="143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13</w:t>
            </w:r>
          </w:p>
        </w:tc>
        <w:tc>
          <w:tcPr>
            <w:tcW w:type="dxa" w:w="403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Accessible grievance redress</w:t>
            </w:r>
          </w:p>
        </w:tc>
        <w:tc>
          <w:tcPr>
            <w:tcW w:type="dxa" w:w="416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No contact route for complaints</w:t>
            </w:r>
          </w:p>
        </w:tc>
      </w:tr>
      <w:tr>
        <w:trPr>
          <w:cantSplit/>
          <w:tblHeader w:val="false"/>
        </w:trPr>
        <w:tc>
          <w:tcPr>
            <w:tcW w:type="dxa" w:w="1433"/>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16</w:t>
            </w:r>
          </w:p>
        </w:tc>
        <w:tc>
          <w:tcPr>
            <w:tcW w:type="dxa" w:w="403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Transfers outside India limited by notification</w:t>
            </w:r>
          </w:p>
        </w:tc>
        <w:tc>
          <w:tcPr>
            <w:tcW w:type="dxa" w:w="416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Unrestricted transfer to foreign affiliates</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B. Notation and the ABAC view of compliance</w:t>
      </w:r>
    </w:p>
    <w:p>
      <w:pPr>
        <w:spacing w:after="100" w:before="0" w:line="248"/>
        <w:jc w:val="both"/>
      </w:pPr>
      <w:r>
        <w:rPr>
          <w:rFonts w:ascii="Times New Roman" w:cs="Times New Roman" w:eastAsia="Times New Roman" w:hAnsi="Times New Roman"/>
          <w:sz w:val="19"/>
          <w:szCs w:val="19"/>
        </w:rPr>
        <w:t>Compliance checking can be framed as an access-control decision. In ABAC, as used in APLiance, a request is a tuple of subject, object, action and environment attributes, and a policy function returns permit or deny. APLiance uses this to ask whether the data operations implied by a privacy policy would be permitted by rules derived from the law. It separates base attributes (read from the policy text), derived attributes (computed by rules) and unknown attributes (runtime facts the policy cannot settle), and it calls a request admissible only if it is permitted under every value an unknown attribute could take. This is a conservative treatment of missing information. Ssense takes a different position on silence, set out in Section V, and the difference matters when comparing outcomes.</w:t>
      </w:r>
    </w:p>
    <w:p>
      <w:pPr>
        <w:pStyle w:val="Heading2"/>
        <w:keepNext/>
        <w:spacing w:after="80" w:before="160"/>
      </w:pPr>
      <w:r>
        <w:rPr>
          <w:rFonts w:ascii="Times New Roman" w:cs="Times New Roman" w:eastAsia="Times New Roman" w:hAnsi="Times New Roman"/>
          <w:i/>
          <w:iCs/>
          <w:sz w:val="20"/>
          <w:szCs w:val="20"/>
        </w:rPr>
        <w:t xml:space="preserve">C. Adapters and preference optimisation</w:t>
      </w:r>
    </w:p>
    <w:p>
      <w:pPr>
        <w:spacing w:after="100" w:before="0" w:line="248"/>
        <w:jc w:val="both"/>
      </w:pPr>
      <w:r>
        <w:rPr>
          <w:rFonts w:ascii="Times New Roman" w:cs="Times New Roman" w:eastAsia="Times New Roman" w:hAnsi="Times New Roman"/>
          <w:sz w:val="19"/>
          <w:szCs w:val="19"/>
        </w:rPr>
        <w:t>A small language model here means a model in the 7-billion-parameter class that can be served on a single accelerator. Qwen2.5-7B-Instruct (Qwen Team, 2024) is a decoder-only Transformer with grouped-query attention, rotary position embeddings, SwiGLU feed-forward layers and RMSNorm. It has 28 layers, which matters for the memory partitioning in Section VI. Low-rank adaptation (LoRA) [11] freezes the base weights and learns a low-rank update to selected matrices, which makes it practical to keep several task-specific adapters over one base model. Rank-stabilised LoRA (Kalajdzievski, arXiv:2312.03732) changes the scaling of the update from the conventional ratio of alpha to rank to the ratio of alpha to the square root of rank, which the original analysis shows keeps learning stable as rank grows.</w:t>
      </w:r>
    </w:p>
    <w:p>
      <w:pPr>
        <w:spacing w:after="100" w:before="0" w:line="248"/>
        <w:jc w:val="both"/>
      </w:pPr>
      <w:r>
        <w:rPr>
          <w:rFonts w:ascii="Times New Roman" w:cs="Times New Roman" w:eastAsia="Times New Roman" w:hAnsi="Times New Roman"/>
          <w:sz w:val="19"/>
          <w:szCs w:val="19"/>
        </w:rPr>
        <w:t>For alignment we use Simple Preference Optimisation [12]. Direct preference optimisation [13] and contrastive preference optimisation [14] compare a policy against a frozen reference, which doubles the models held in memory during training. SimPO scores each response by its length-normalised log-likelihood under the policy being trained and adds a target margin, so no reference model is needed. We use it because the preference pairs here encode a specific distinction (schema-valid and grounded versus fabricated or over-called), and because the memory saving matters on a single training node. SimPO does not by itself make an answer legally correct, a point we return to in Section IX.</w:t>
      </w:r>
    </w:p>
    <w:p>
      <w:pPr>
        <w:pStyle w:val="Heading2"/>
        <w:keepNext/>
        <w:spacing w:after="80" w:before="160"/>
      </w:pPr>
      <w:r>
        <w:rPr>
          <w:rFonts w:ascii="Times New Roman" w:cs="Times New Roman" w:eastAsia="Times New Roman" w:hAnsi="Times New Roman"/>
          <w:i/>
          <w:iCs/>
          <w:sz w:val="20"/>
          <w:szCs w:val="20"/>
        </w:rPr>
        <w:t xml:space="preserve">D. Retrieval and structured output</w:t>
      </w:r>
    </w:p>
    <w:p>
      <w:pPr>
        <w:spacing w:after="100" w:before="0" w:line="248"/>
        <w:jc w:val="both"/>
      </w:pPr>
      <w:r>
        <w:rPr>
          <w:rFonts w:ascii="Times New Roman" w:cs="Times New Roman" w:eastAsia="Times New Roman" w:hAnsi="Times New Roman"/>
          <w:sz w:val="19"/>
          <w:szCs w:val="19"/>
        </w:rPr>
        <w:t>Retrieval-augmented generation [15] separates a model's stored knowledge from an updateable evidence store, which suits a statute that is amended by rules and where each answer should carry provenance. Sparse retrieval with BM25 matches exact terms such as section numbers, dense retrieval with embeddings matches paraphrases [16], and a cross-encoder re-scores the shortlist jointly with the query. Grammar-constrained decoding restricts the tokens a model may emit, which we use to guarantee that audit reports are well-formed JSON.</w:t>
      </w:r>
    </w:p>
    <w:p>
      <w:pPr>
        <w:pStyle w:val="Heading1"/>
        <w:keepNext/>
        <w:spacing w:after="110" w:before="260"/>
        <w:jc w:val="center"/>
      </w:pPr>
      <w:r>
        <w:rPr>
          <w:rFonts w:ascii="Times New Roman" w:cs="Times New Roman" w:eastAsia="Times New Roman" w:hAnsi="Times New Roman"/>
          <w:sz w:val="20"/>
          <w:szCs w:val="20"/>
        </w:rPr>
        <w:t xml:space="preserve">III. LITERATURE SURVEY</w:t>
      </w:r>
    </w:p>
    <w:p>
      <w:pPr>
        <w:spacing w:after="100" w:before="0" w:line="248"/>
        <w:jc w:val="both"/>
      </w:pPr>
      <w:r>
        <w:rPr>
          <w:rFonts w:ascii="Times New Roman" w:cs="Times New Roman" w:eastAsia="Times New Roman" w:hAnsi="Times New Roman"/>
          <w:sz w:val="19"/>
          <w:szCs w:val="19"/>
        </w:rPr>
        <w:t>We survey work in the order of the Ssense pipeline: legal adaptation, synthetic data and alignment, retrieval, privacy-policy compliance and runtime monitoring, human factors, and safety, followed by the DPDP-specific systems. Most of the sources were read at abstract level, so we report what the authors state and do not re-derive their results. Reported scores are not pooled, because the legal regimes, datasets, tasks and metrics differ. Table II maps each evidence line to what it supports in Ssense and where the transfer stops.</w:t>
      </w:r>
    </w:p>
    <w:p>
      <w:pPr>
        <w:keepNext/>
        <w:spacing w:after="70" w:before="140"/>
        <w:jc w:val="center"/>
      </w:pPr>
      <w:r>
        <w:rPr>
          <w:rFonts w:ascii="Times New Roman" w:cs="Times New Roman" w:eastAsia="Times New Roman" w:hAnsi="Times New Roman"/>
          <w:smallCaps/>
          <w:sz w:val="17"/>
          <w:szCs w:val="17"/>
        </w:rPr>
        <w:t xml:space="preserve">TABLE II: </w:t>
      </w:r>
      <w:r>
        <w:rPr>
          <w:rFonts w:ascii="Times New Roman" w:cs="Times New Roman" w:eastAsia="Times New Roman" w:hAnsi="Times New Roman"/>
          <w:sz w:val="16"/>
          <w:szCs w:val="16"/>
        </w:rPr>
        <w:br/>
        <w:t xml:space="preserve">EVIDENCE MAP: WHAT THE LITERATURE SUPPORTS AND WHERE TRANSFER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2703"/>
        <w:gridCol w:w="2586"/>
        <w:gridCol w:w="2586"/>
      </w:tblGrid>
      <w:tr>
        <w:trPr>
          <w:cantSplit/>
          <w:tblHeader/>
        </w:trPr>
        <w:tc>
          <w:tcPr>
            <w:tcW w:type="dxa" w:w="1763"/>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5"/>
                <w:szCs w:val="15"/>
              </w:rPr>
              <w:t xml:space="preserve">Evidence line</w:t>
            </w:r>
          </w:p>
        </w:tc>
        <w:tc>
          <w:tcPr>
            <w:tcW w:type="dxa" w:w="2703"/>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5"/>
                <w:szCs w:val="15"/>
              </w:rPr>
              <w:t xml:space="preserve">Method</w:t>
            </w:r>
          </w:p>
        </w:tc>
        <w:tc>
          <w:tcPr>
            <w:tcW w:type="dxa" w:w="258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5"/>
                <w:szCs w:val="15"/>
              </w:rPr>
              <w:t xml:space="preserve">Supports in Ssense</w:t>
            </w:r>
          </w:p>
        </w:tc>
        <w:tc>
          <w:tcPr>
            <w:tcW w:type="dxa" w:w="258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5"/>
                <w:szCs w:val="15"/>
              </w:rPr>
              <w:t xml:space="preserve">Transfer limit</w:t>
            </w:r>
          </w:p>
        </w:tc>
      </w:tr>
      <w:tr>
        <w:trPr>
          <w:cantSplit/>
          <w:tblHeader w:val="false"/>
        </w:trPr>
        <w:tc>
          <w:tcPr>
            <w:tcW w:type="dxa" w:w="176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Legal adaptation [2], [3], [11], [17]–[21]</w:t>
            </w:r>
          </w:p>
        </w:tc>
        <w:tc>
          <w:tcPr>
            <w:tcW w:type="dxa" w:w="270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Domain pre-training, low-rank adaptation, legal instruction data, hallucination profiling</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Adapter design; broad regression suite; abstention and entailment measures</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No DPDP-specific validation; other jurisdictions and tasks</w:t>
            </w:r>
          </w:p>
        </w:tc>
      </w:tr>
      <w:tr>
        <w:trPr>
          <w:cantSplit/>
          <w:tblHeader w:val="false"/>
        </w:trPr>
        <w:tc>
          <w:tcPr>
            <w:tcW w:type="dxa" w:w="176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Synthetic data and judges [22]–[27]</w:t>
            </w:r>
          </w:p>
        </w:tc>
        <w:tc>
          <w:tcPr>
            <w:tcW w:type="dxa" w:w="270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Generate–filter pipelines, teacher–student transfer, rubric judges, model collapse</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Data Forge design; real-policy retention; independent validation</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Teacher output is not ground truth; judge scores are task-specific</w:t>
            </w:r>
          </w:p>
        </w:tc>
      </w:tr>
      <w:tr>
        <w:trPr>
          <w:cantSplit/>
          <w:tblHeader w:val="false"/>
        </w:trPr>
        <w:tc>
          <w:tcPr>
            <w:tcW w:type="dxa" w:w="176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Preference alignment [12]–[14], [28]</w:t>
            </w:r>
          </w:p>
        </w:tc>
        <w:tc>
          <w:tcPr>
            <w:tcW w:type="dxa" w:w="270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Reference-based and reference-free objectives; factuality-aware alignment</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SimPO phase; factuality-oriented rejected samples</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Preference gains do not prove legal correctness</w:t>
            </w:r>
          </w:p>
        </w:tc>
      </w:tr>
      <w:tr>
        <w:trPr>
          <w:cantSplit/>
          <w:tblHeader w:val="false"/>
        </w:trPr>
        <w:tc>
          <w:tcPr>
            <w:tcW w:type="dxa" w:w="176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Retrieval [15], [16], [29]</w:t>
            </w:r>
          </w:p>
        </w:tc>
        <w:tc>
          <w:tcPr>
            <w:tcW w:type="dxa" w:w="270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Retrieve-then-read, dense search, late interaction</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Statute lookup and re-ranking for the chatbot</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General question answering, not statutory entailment</w:t>
            </w:r>
          </w:p>
        </w:tc>
      </w:tr>
      <w:tr>
        <w:trPr>
          <w:cantSplit/>
          <w:tblHeader w:val="false"/>
        </w:trPr>
        <w:tc>
          <w:tcPr>
            <w:tcW w:type="dxa" w:w="176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Compliance and runtime [4]–[10], [30]–[35]</w:t>
            </w:r>
          </w:p>
        </w:tc>
        <w:tc>
          <w:tcPr>
            <w:tcW w:type="dxa" w:w="270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Rule inventories, sentence labelling, entailment, disclosure-versus-traffic comparison</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Clause-to-evidence mapping; runtime evidence for enforcement</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Mostly GDPR or CCPA; non-comparable metrics</w:t>
            </w:r>
          </w:p>
        </w:tc>
      </w:tr>
      <w:tr>
        <w:trPr>
          <w:cantSplit/>
          <w:tblHeader w:val="false"/>
        </w:trPr>
        <w:tc>
          <w:tcPr>
            <w:tcW w:type="dxa" w:w="176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Human factors and safety [1], [36]–[41]</w:t>
            </w:r>
          </w:p>
        </w:tc>
        <w:tc>
          <w:tcPr>
            <w:tcW w:type="dxa" w:w="270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User studies, interactive assessment, injection benchmarks and defences</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Comprehension and trust measures; adversarial tests</w:t>
            </w:r>
          </w:p>
        </w:tc>
        <w:tc>
          <w:tcPr>
            <w:tcW w:type="dxa" w:w="25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 xml:space="preserve">Usability and injection robustness are measured separately</w:t>
            </w:r>
          </w:p>
        </w:tc>
      </w:tr>
      <w:tr>
        <w:trPr>
          <w:cantSplit/>
          <w:tblHeader w:val="false"/>
        </w:trPr>
        <w:tc>
          <w:tcPr>
            <w:tcW w:type="dxa" w:w="1763"/>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DPDP-specific (APLiance preprint)</w:t>
            </w:r>
          </w:p>
        </w:tc>
        <w:tc>
          <w:tcPr>
            <w:tcW w:type="dxa" w:w="2703"/>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Attribute-based rule checker with a hosted LLM</w:t>
            </w:r>
          </w:p>
        </w:tc>
        <w:tc>
          <w:tcPr>
            <w:tcW w:type="dxa" w:w="258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Problem framing and design contrast</w:t>
            </w:r>
          </w:p>
        </w:tc>
        <w:tc>
          <w:tcPr>
            <w:tcW w:type="dxa" w:w="258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One preprint checker; no peer-reviewed DPDP benchmark found</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A. Legal-domain adaptation and evaluation</w:t>
      </w:r>
    </w:p>
    <w:p>
      <w:pPr>
        <w:spacing w:after="100" w:before="0" w:line="248"/>
        <w:jc w:val="both"/>
      </w:pPr>
      <w:r>
        <w:rPr>
          <w:rFonts w:ascii="Times New Roman" w:cs="Times New Roman" w:eastAsia="Times New Roman" w:hAnsi="Times New Roman"/>
          <w:sz w:val="19"/>
          <w:szCs w:val="19"/>
        </w:rPr>
        <w:t>The first question is whether a general model can acquire legal vocabulary and task structure without being mistaken for a jurisdiction-aware reasoner. LEGAL-BERT compared a general BERT, continued pre-training on legal text and pre-training from scratch, which makes domain adaptation a baseline to beat and not a guarantee of transfer [17]. LoRA [11] is the adaptation pattern behind Ssense's two adapters. Two recent applications pair low-rank or quantised adaptation with local legal text: one targets the Indian legal system [3] and one legal question answering based on LoRA [18]. Both demonstrate applications; neither evaluates compliance with the DPDP Act or its Rules.</w:t>
      </w:r>
    </w:p>
    <w:p>
      <w:pPr>
        <w:spacing w:after="100" w:before="0" w:line="248"/>
        <w:jc w:val="both"/>
      </w:pPr>
      <w:r>
        <w:rPr>
          <w:rFonts w:ascii="Times New Roman" w:cs="Times New Roman" w:eastAsia="Times New Roman" w:hAnsi="Times New Roman"/>
          <w:sz w:val="19"/>
          <w:szCs w:val="19"/>
        </w:rPr>
        <w:t>The strongest evidence for legal instruction data is LawInstruct, which gathers 58 annotated legal datasets into 12 million examples across 17 jurisdictions and 24 languages and reports that legal-specific Flan-T5 models improve on LegalBench without a reported loss on MMLU [19]. This supports multi-task legal fine-tuning with a broad regression suite, but jurisdictional diversity is not a substitute for testing on Indian statutes. An evaluation of legal judgment prediction finds that retrieved similar cases and label options help models recover task-relevant knowledge, while a strong retriever alone can sometimes beat the combined LLM-and-retrieval pipeline [20]. For answers addressed to citizens, LLeQA supplies 1,868 expert-annotated questions on French law and evaluates a retrieve-then-read system [21]; its expert grounding is a useful benchmark-design precedent, not evidence about Indian law.</w:t>
      </w:r>
    </w:p>
    <w:p>
      <w:pPr>
        <w:spacing w:after="100" w:before="0" w:line="248"/>
        <w:jc w:val="both"/>
      </w:pPr>
      <w:r>
        <w:rPr>
          <w:rFonts w:ascii="Times New Roman" w:cs="Times New Roman" w:eastAsia="Times New Roman" w:hAnsi="Times New Roman"/>
          <w:sz w:val="19"/>
          <w:szCs w:val="19"/>
        </w:rPr>
        <w:t>Output risk is not only a retrieval problem. Dahl et al. [2] profile hallucinations on specific, verifiable questions about US federal courts and report rates of at least 58% for GPT-4 and 88% for Llama 2, with frequent acceptance of incorrect premises. The rates apply to those models and questions. They motivate our evaluation of statutory correctness, unsupported claims, abstention, and whether a cited provision actually entails the stated conclusion.</w:t>
      </w:r>
    </w:p>
    <w:p>
      <w:pPr>
        <w:pStyle w:val="Heading2"/>
        <w:keepNext/>
        <w:spacing w:after="80" w:before="160"/>
      </w:pPr>
      <w:r>
        <w:rPr>
          <w:rFonts w:ascii="Times New Roman" w:cs="Times New Roman" w:eastAsia="Times New Roman" w:hAnsi="Times New Roman"/>
          <w:i/>
          <w:iCs/>
          <w:sz w:val="20"/>
          <w:szCs w:val="20"/>
        </w:rPr>
        <w:t xml:space="preserve">B. Synthetic data, evaluation by models, and alignment</w:t>
      </w:r>
    </w:p>
    <w:p>
      <w:pPr>
        <w:spacing w:after="100" w:before="0" w:line="248"/>
        <w:jc w:val="both"/>
      </w:pPr>
      <w:r>
        <w:rPr>
          <w:rFonts w:ascii="Times New Roman" w:cs="Times New Roman" w:eastAsia="Times New Roman" w:hAnsi="Times New Roman"/>
          <w:sz w:val="19"/>
          <w:szCs w:val="19"/>
        </w:rPr>
        <w:t>Self-Instruct set out a generate, filter and fine-tune pattern: a model writes instructions and responses, and invalid or near-duplicate items are removed before training [22]. A 2025 survey of synthetic-data generation names the matching trade-off, since generated text widens coverage where labels are scarce but brings factual error, distribution mismatch and bias that need quality checks [23]. Legal question answering now tests the teacher–student version directly: Italiani et al. use a frozen teacher to generate legal questions and answers for a smaller student and retrieve the relevant document [24]. That setting is Italian law, and its synthetic corpus is not independent ground truth, so it supports our approach but cannot validate statute-derived violation labels. Training on recursively generated text can also make the tails of the data distribution disappear [27], which is why real, reviewed policies should remain in the training mix.</w:t>
      </w:r>
    </w:p>
    <w:p>
      <w:pPr>
        <w:spacing w:after="100" w:before="0" w:line="248"/>
        <w:jc w:val="both"/>
      </w:pPr>
      <w:r>
        <w:rPr>
          <w:rFonts w:ascii="Times New Roman" w:cs="Times New Roman" w:eastAsia="Times New Roman" w:hAnsi="Times New Roman"/>
          <w:sz w:val="19"/>
          <w:szCs w:val="19"/>
        </w:rPr>
        <w:t>Models can score text, but they are not self-validating. G-Eval reports a Spearman correlation of 0.514 with human ratings on summarisation and notes a possible preference for model-written text [25]. Prometheus scores long answers against custom rubrics and reports a Pearson correlation of 0.897 with human evaluators [26]. The two coefficients use different tasks and statistics and should not be compared. For a data-curation loop, rubric scores are one signal, to be checked by independent rules and expert review.</w:t>
      </w:r>
    </w:p>
    <w:p>
      <w:pPr>
        <w:spacing w:after="100" w:before="0" w:line="248"/>
        <w:jc w:val="both"/>
      </w:pPr>
      <w:r>
        <w:rPr>
          <w:rFonts w:ascii="Times New Roman" w:cs="Times New Roman" w:eastAsia="Times New Roman" w:hAnsi="Times New Roman"/>
          <w:sz w:val="19"/>
          <w:szCs w:val="19"/>
        </w:rPr>
        <w:t>Preference optimisation shapes behaviour but does not establish legal correctness. DPO [13], contrastive preference optimisation [14] and SimPO [12] are distinct baselines; SimPO uses a reference-free, length-normalised sequence reward. FLAME examines factuality-aware alignment and reports that conventional alignment can reward longer, more helpful-sounding answers even when they add false statements [28]. For legal guidance, the preference signal has to reward statutory entailment and correct uncertainty, not confidence or length, so the alignment stage should be evaluated with statute-level factuality and omission measures as well as pairwise preference accuracy.</w:t>
      </w:r>
    </w:p>
    <w:p>
      <w:pPr>
        <w:pStyle w:val="Heading2"/>
        <w:keepNext/>
        <w:spacing w:after="80" w:before="160"/>
      </w:pPr>
      <w:r>
        <w:rPr>
          <w:rFonts w:ascii="Times New Roman" w:cs="Times New Roman" w:eastAsia="Times New Roman" w:hAnsi="Times New Roman"/>
          <w:i/>
          <w:iCs/>
          <w:sz w:val="20"/>
          <w:szCs w:val="20"/>
        </w:rPr>
        <w:t xml:space="preserve">C. Retrieval and legal grounding</w:t>
      </w:r>
    </w:p>
    <w:p>
      <w:pPr>
        <w:spacing w:after="100" w:before="0" w:line="248"/>
        <w:jc w:val="both"/>
      </w:pPr>
      <w:r>
        <w:rPr>
          <w:rFonts w:ascii="Times New Roman" w:cs="Times New Roman" w:eastAsia="Times New Roman" w:hAnsi="Times New Roman"/>
          <w:sz w:val="19"/>
          <w:szCs w:val="19"/>
        </w:rPr>
        <w:t>Retrieval-augmented generation keeps knowledge in an updateable store and gives answers provenance [15]. Dense passage retrieval is a dual-encoder baseline that was compared directly with BM25 [16], and ColBERT shows that late interaction can rank passages efficiently [29]. They support a hybrid sparse-and-dense pipeline with a re-ranker, but a high retrieval score does not show that the chosen passage supports the generated judgement. The retrieve-then-read systems of [21] and [24] point to evaluating retrieval recall and answer-to-statute entailment separately.</w:t>
      </w:r>
    </w:p>
    <w:p>
      <w:pPr>
        <w:spacing w:after="100" w:before="0" w:line="248"/>
        <w:jc w:val="both"/>
      </w:pPr>
      <w:r>
        <w:rPr>
          <w:rFonts w:ascii="Times New Roman" w:cs="Times New Roman" w:eastAsia="Times New Roman" w:hAnsi="Times New Roman"/>
          <w:sz w:val="19"/>
          <w:szCs w:val="19"/>
        </w:rPr>
        <w:t xml:space="preserve">The distinction between closed-book and open-book use matters for Ssense. The auditor is trained without the law in its prompt, so it must generalise from synthetic examples to provisions it has not seen, whereas the chatbot retrieves current law at inference. Evidence for the second architecture does not establish the first capability, so the adapters need separate tests: held-out DPDP provisions for the auditor, and retrieval relevance, citation correctness and entailment for the chatbot.</w:t>
      </w:r>
    </w:p>
    <w:p>
      <w:pPr>
        <w:pStyle w:val="Heading2"/>
        <w:keepNext/>
        <w:spacing w:after="80" w:before="160"/>
      </w:pPr>
      <w:r>
        <w:rPr>
          <w:rFonts w:ascii="Times New Roman" w:cs="Times New Roman" w:eastAsia="Times New Roman" w:hAnsi="Times New Roman"/>
          <w:i/>
          <w:iCs/>
          <w:sz w:val="20"/>
          <w:szCs w:val="20"/>
        </w:rPr>
        <w:t xml:space="preserve">D. Privacy-policy compliance and runtime auditing</w:t>
      </w:r>
    </w:p>
    <w:p>
      <w:pPr>
        <w:spacing w:after="100" w:before="0" w:line="248"/>
        <w:jc w:val="both"/>
      </w:pPr>
      <w:r>
        <w:rPr>
          <w:rFonts w:ascii="Times New Roman" w:cs="Times New Roman" w:eastAsia="Times New Roman" w:hAnsi="Times New Roman"/>
          <w:sz w:val="19"/>
          <w:szCs w:val="19"/>
        </w:rPr>
        <w:t>Early compliance systems turned legal requirements into sentence labels and rules. Liu et al. combined sentence classification with rules for GDPR Article 13 and built a corpus of 36,610 labelled sentences from 304 policies [4]. CompLicy translated GDPR disclosure requirements into 89 terms in seven groups and assessed 148 web platforms [5]. Both show that compliance needs an explicit rule inventory and traceable policy evidence; a free-form summary does not establish that a required disclosure is present.</w:t>
      </w:r>
    </w:p>
    <w:p>
      <w:pPr>
        <w:spacing w:after="100" w:before="0" w:line="248"/>
        <w:jc w:val="both"/>
      </w:pPr>
      <w:r>
        <w:rPr>
          <w:rFonts w:ascii="Times New Roman" w:cs="Times New Roman" w:eastAsia="Times New Roman" w:hAnsi="Times New Roman"/>
          <w:sz w:val="19"/>
          <w:szCs w:val="19"/>
        </w:rPr>
        <w:t>Browser extensions make the gap between policy and practice measurable. Ling et al. compare policies and regulatory requirements with extensions' runtime behaviour and report that about 92% of the extensions examined had at least one privacy violation [7]. ExtPrivA analyses extension-triggered network requests for inconsistencies with disclosures, reporting 85% precision and 820 inconsistent extensions among 47,200 [8]. MINDAEXT asks about data minimisation: among roughly 200,000 extensions, 38.0% were likely to collect more than essential functionality needs, with 74.3% detection precision [9]. These studies compare disclosures with observed data flows, which is the closest precedent for measuring what Ssense's network rules do. They do not show that blocking a request is safe or complete.</w:t>
      </w:r>
    </w:p>
    <w:p>
      <w:pPr>
        <w:spacing w:after="100" w:before="0" w:line="248"/>
        <w:jc w:val="both"/>
      </w:pPr>
      <w:r>
        <w:rPr>
          <w:rFonts w:ascii="Times New Roman" w:cs="Times New Roman" w:eastAsia="Times New Roman" w:hAnsi="Times New Roman"/>
          <w:sz w:val="19"/>
          <w:szCs w:val="19"/>
        </w:rPr>
        <w:t>Recent systems are finer-grained. C3PA labels policy segments against CCPA disclosure requirements [6]; PrivComp-KG retrieves policy excerpts and maps them to regulatory rules [30]; and Huang et al. use AI chatbots to produce structured annotations of corporate privacy practices for an Internet-measurement study [35]. A reasoning framework for healthcare services assesses GDPR Article 13 by sliding-window entailment and rule aggregation, and was tested on 388 synthetic healthcare policies and 100 websites [31]. A GKC-CI study fine-tunes models on 21,588 annotations from 16 policies, reports 90.65% accuracy for its best model, and applies it to 456 policies [32]. Cory et al. annotate 21 GDPR transparency requirements at word level, with a 200-policy manually annotated sample [33]. Vu and Ha compare declared cookie attributes with observed browser behaviour and find undeclared cookies and deployment before consent [10], and Wang et al. detect compliance problems in mobile-application policies with an LLM-based method [34]. Table III lists the scale and evidence type of these studies. Each measures different rules, samples and annotation units, so their joint contribution is methodological, finer granularity and runtime evidence, not a transferable score for the DPDP Act.</w:t>
      </w:r>
    </w:p>
    <w:p>
      <w:pPr>
        <w:keepNext/>
        <w:spacing w:after="70" w:before="140"/>
        <w:jc w:val="center"/>
      </w:pPr>
      <w:r>
        <w:rPr>
          <w:rFonts w:ascii="Times New Roman" w:cs="Times New Roman" w:eastAsia="Times New Roman" w:hAnsi="Times New Roman"/>
          <w:smallCaps/>
          <w:sz w:val="17"/>
          <w:szCs w:val="17"/>
        </w:rPr>
        <w:t xml:space="preserve">TABLE III: </w:t>
      </w:r>
      <w:r>
        <w:rPr>
          <w:rFonts w:ascii="Times New Roman" w:cs="Times New Roman" w:eastAsia="Times New Roman" w:hAnsi="Times New Roman"/>
          <w:sz w:val="16"/>
          <w:szCs w:val="16"/>
        </w:rPr>
        <w:br/>
        <w:t xml:space="preserve">COMPLIANCE-CHECKING STUDIES COMPARED (FIGURES AS REPORTED BY THE AUTHORS)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8"/>
        <w:gridCol w:w="1627"/>
        <w:gridCol w:w="3129"/>
        <w:gridCol w:w="2754"/>
      </w:tblGrid>
      <w:tr>
        <w:trPr>
          <w:cantSplit/>
          <w:tblHeader/>
        </w:trPr>
        <w:tc>
          <w:tcPr>
            <w:tcW w:type="dxa" w:w="212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Study</w:t>
            </w:r>
          </w:p>
        </w:tc>
        <w:tc>
          <w:tcPr>
            <w:tcW w:type="dxa" w:w="162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Law or target</w:t>
            </w:r>
          </w:p>
        </w:tc>
        <w:tc>
          <w:tcPr>
            <w:tcW w:type="dxa" w:w="312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Scale and headline figure</w:t>
            </w:r>
          </w:p>
        </w:tc>
        <w:tc>
          <w:tcPr>
            <w:tcW w:type="dxa" w:w="2754"/>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Evidence type</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Liu et al. [4]</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GDPR Art. 13</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36,610 labelled sentences, 304 policies</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Sentence classification plus rules</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CompLicy [5]</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GDPR</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89 terms in 7 groups; 148 web platforms</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Rule inventory</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Ling et al. [7]</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Extension practices</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About 92% of examined extensions with at least one violation</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Policy and runtime comparison</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ExtPrivA [8]</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Extension traffic</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47,200 extensions; 820 inconsistent; 85% precision</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Network-request analysis</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MINDAEXT [9]</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Data minimisation</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About 200,000 extensions; 38.0% beyond essential; 74.3% precision</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Description versus collection</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Chen et al. [31]</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GDPR Art. 13</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388 synthetic policies; 100 websites</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Sliding-window entailment</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GKC-CI [32]</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Contextual integrity</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21,588 annotations, 16 policies; 90.65% accuracy; applied to 456 policies</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Fine-tuned classifiers</w:t>
            </w:r>
          </w:p>
        </w:tc>
      </w:tr>
      <w:tr>
        <w:trPr>
          <w:cantSplit/>
          <w:tblHeader w:val="false"/>
        </w:trPr>
        <w:tc>
          <w:tcPr>
            <w:tcW w:type="dxa" w:w="21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Cory et al. [33]</w:t>
            </w:r>
          </w:p>
        </w:tc>
        <w:tc>
          <w:tcPr>
            <w:tcW w:type="dxa" w:w="16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GDPR transparency</w:t>
            </w:r>
          </w:p>
        </w:tc>
        <w:tc>
          <w:tcPr>
            <w:tcW w:type="dxa" w:w="31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21 requirements; 200-policy annotated sample</w:t>
            </w:r>
          </w:p>
        </w:tc>
        <w:tc>
          <w:tcPr>
            <w:tcW w:type="dxa" w:w="27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Word-level LLM annotation</w:t>
            </w:r>
          </w:p>
        </w:tc>
      </w:tr>
      <w:tr>
        <w:trPr>
          <w:cantSplit/>
          <w:tblHeader w:val="false"/>
        </w:trPr>
        <w:tc>
          <w:tcPr>
            <w:tcW w:type="dxa" w:w="212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APLiance</w:t>
            </w:r>
          </w:p>
        </w:tc>
        <w:tc>
          <w:tcPr>
            <w:tcW w:type="dxa" w:w="162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DPDP §§1–7</w:t>
            </w:r>
          </w:p>
        </w:tc>
        <w:tc>
          <w:tcPr>
            <w:tcW w:type="dxa" w:w="312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25 policies; 400 pairs; 94.5% accuracy</w:t>
            </w:r>
          </w:p>
        </w:tc>
        <w:tc>
          <w:tcPr>
            <w:tcW w:type="dxa" w:w="2754"/>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Prompted LLM plus symbolic rules</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E. Human factors and user trust</w:t>
      </w:r>
    </w:p>
    <w:p>
      <w:pPr>
        <w:spacing w:after="100" w:before="0" w:line="248"/>
        <w:jc w:val="both"/>
      </w:pPr>
      <w:r>
        <w:rPr>
          <w:rFonts w:ascii="Times New Roman" w:cs="Times New Roman" w:eastAsia="Times New Roman" w:hAnsi="Times New Roman"/>
          <w:sz w:val="19"/>
          <w:szCs w:val="19"/>
        </w:rPr>
        <w:t>Usability and trust have to be measured as well. A 2025 survey of human-centred privacy research selected 231 studies from 8,867 records and found that 45% involved no users [1]. A browser-extension study of interactive policy assessment with 22 participants found that summaries and chat improved awareness while raising trust concerns [36]. Privacy2Practice evaluates structured extraction of entities, data types and purposes [37], and PrivacyCheck v3 adds policy-change tracking and comparison [38]. Together they support a citizen-facing layer beside the forensic audit and argue for measuring comprehension and trust separately from technical accuracy.</w:t>
      </w:r>
    </w:p>
    <w:p>
      <w:pPr>
        <w:pStyle w:val="Heading2"/>
        <w:keepNext/>
        <w:spacing w:after="80" w:before="160"/>
      </w:pPr>
      <w:r>
        <w:rPr>
          <w:rFonts w:ascii="Times New Roman" w:cs="Times New Roman" w:eastAsia="Times New Roman" w:hAnsi="Times New Roman"/>
          <w:i/>
          <w:iCs/>
          <w:sz w:val="20"/>
          <w:szCs w:val="20"/>
        </w:rPr>
        <w:t xml:space="preserve">F. Safety and prompt injection</w:t>
      </w:r>
    </w:p>
    <w:p>
      <w:pPr>
        <w:spacing w:after="100" w:before="0" w:line="248"/>
        <w:jc w:val="both"/>
      </w:pPr>
      <w:r>
        <w:rPr>
          <w:rFonts w:ascii="Times New Roman" w:cs="Times New Roman" w:eastAsia="Times New Roman" w:hAnsi="Times New Roman"/>
          <w:sz w:val="19"/>
          <w:szCs w:val="19"/>
        </w:rPr>
        <w:t>Prompt injection is a system-level risk whenever a model consumes fetched or retrieved text, as an auditor reading policy pages does. Greshake et al. show how retrieved content can override intended instructions in LLM-integrated applications [39]. Li et al. benchmark whether instruction-following models separate the intended task from embedded instructions [40], and SecAlign uses preference optimisation to train secure responses, reporting injection success below 10% in its evaluated settings [41]. None of these studies covers the mixture of hostile policy text, statute excerpts and browser traffic that Ssense sees, so adversarial tests belong in its own certification.</w:t>
      </w:r>
    </w:p>
    <w:p>
      <w:pPr>
        <w:pStyle w:val="Heading2"/>
        <w:keepNext/>
        <w:spacing w:after="80" w:before="160"/>
      </w:pPr>
      <w:r>
        <w:rPr>
          <w:rFonts w:ascii="Times New Roman" w:cs="Times New Roman" w:eastAsia="Times New Roman" w:hAnsi="Times New Roman"/>
          <w:i/>
          <w:iCs/>
          <w:sz w:val="20"/>
          <w:szCs w:val="20"/>
        </w:rPr>
        <w:t>G. DPDP-specific systems</w:t>
      </w:r>
    </w:p>
    <w:p>
      <w:pPr>
        <w:spacing w:after="100" w:before="0" w:line="248"/>
        <w:jc w:val="both"/>
      </w:pPr>
      <w:r>
        <w:rPr>
          <w:rFonts w:ascii="Times New Roman" w:cs="Times New Roman" w:eastAsia="Times New Roman" w:hAnsi="Times New Roman"/>
          <w:sz w:val="19"/>
          <w:szCs w:val="19"/>
        </w:rPr>
        <w:t>APLiance is the one DPDP policy checker we found. Its formalism has three attribute classes and eleven decision and derivation rules, and a hosted backend serves a browser extension with a 24-hour result cache. Its evaluation uses 25 policies from e-commerce, social media, news and streaming organisations with 16 attributes each, giving 400 labelled pairs. The published confusion matrix has 272 true positives, 106 true negatives, 11 false positives and 11 false negatives, so accuracy is 94.5% and precision and recall are both 96.1%. Explicitly stated requirements such as purpose and lawful purpose are classified perfectly, while consent_is_unambiguous (accuracy 0.64, recall 0.14) and easy_consent_withdrawal (accuracy 0.76) are hard. An ablation shows that decomposing the task into attributes beats asking the model for a verdict directly (76% against 68% on withdrawal, 64% against 52% on unambiguous consent). No policy is compliant on the full rule set; after relaxing three attributes (notices and consent requests in all Eighth Schedule languages, and a route for complaints to the Board), three of 25 pass, and after also relaxing two ambiguous consent attributes, 20 of 25 pass. The authors list wider section coverage and multilingual support as future work.</w:t>
      </w:r>
    </w:p>
    <w:p>
      <w:pPr>
        <w:spacing w:after="100" w:before="0" w:line="248"/>
        <w:jc w:val="both"/>
      </w:pPr>
      <w:r>
        <w:rPr>
          <w:rFonts w:ascii="Times New Roman" w:cs="Times New Roman" w:eastAsia="Times New Roman" w:hAnsi="Times New Roman"/>
          <w:b/>
          <w:bCs/>
          <w:sz w:val="19"/>
          <w:szCs w:val="19"/>
        </w:rPr>
        <w:t xml:space="preserve">Relation to Ssense.</w:t>
      </w:r>
      <w:r>
        <w:rPr>
          <w:rFonts w:ascii="Times New Roman" w:cs="Times New Roman" w:eastAsia="Times New Roman" w:hAnsi="Times New Roman"/>
          <w:sz w:val="19"/>
          <w:szCs w:val="19"/>
        </w:rPr>
        <w:t xml:space="preserve"> Ssense inherits the problem statement from APLiance and its idea of decomposing compliance into structured intermediate decisions, but replaces the prompted extractor plus symbolic engine with an adapted model whose output is constrained and cross-checked by deterministic rules. It adds a chatbot and a route to enforcement, which none of the sources above provide, and it takes evaluation ideas from fine-grained annotation studies [32], [33] and from runtime comparison studies [8], [9].</w:t>
      </w:r>
    </w:p>
    <w:p>
      <w:pPr>
        <w:pStyle w:val="Heading1"/>
        <w:keepNext/>
        <w:spacing w:after="110" w:before="260"/>
        <w:jc w:val="center"/>
      </w:pPr>
      <w:r>
        <w:rPr>
          <w:rFonts w:ascii="Times New Roman" w:cs="Times New Roman" w:eastAsia="Times New Roman" w:hAnsi="Times New Roman"/>
          <w:sz w:val="20"/>
          <w:szCs w:val="20"/>
        </w:rPr>
        <w:t xml:space="preserve">IV. RESEARCH GAP ANALYSIS</w:t>
      </w:r>
    </w:p>
    <w:p>
      <w:pPr>
        <w:spacing w:after="100" w:before="0" w:line="248"/>
        <w:jc w:val="both"/>
      </w:pPr>
      <w:r>
        <w:rPr>
          <w:rFonts w:ascii="Times New Roman" w:cs="Times New Roman" w:eastAsia="Times New Roman" w:hAnsi="Times New Roman"/>
          <w:sz w:val="19"/>
          <w:szCs w:val="19"/>
        </w:rPr>
        <w:t xml:space="preserve">Table IV compares representative systems on the properties that matter for a DPDP auditing tool; entries reflect our reading of the published descriptions and a dash means not applicable or not described. Table V states seven gaps and the design response to each. Table VI lists gaps that Ssense does not close, so that the contribution is not overstated.</w:t>
      </w:r>
    </w:p>
    <w:p>
      <w:pPr>
        <w:keepNext/>
        <w:spacing w:after="70" w:before="140"/>
        <w:jc w:val="center"/>
      </w:pPr>
      <w:r>
        <w:rPr>
          <w:rFonts w:ascii="Times New Roman" w:cs="Times New Roman" w:eastAsia="Times New Roman" w:hAnsi="Times New Roman"/>
          <w:smallCaps/>
          <w:sz w:val="17"/>
          <w:szCs w:val="17"/>
        </w:rPr>
        <w:t xml:space="preserve">TABLE IV: </w:t>
      </w:r>
      <w:r>
        <w:rPr>
          <w:rFonts w:ascii="Times New Roman" w:cs="Times New Roman" w:eastAsia="Times New Roman" w:hAnsi="Times New Roman"/>
          <w:sz w:val="16"/>
          <w:szCs w:val="16"/>
        </w:rPr>
        <w:br/>
        <w:t xml:space="preserve">CAPABILITY COMPARISON WITH REPRESENTATIVE PRIOR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989"/>
        <w:gridCol w:w="1236"/>
        <w:gridCol w:w="1236"/>
        <w:gridCol w:w="1236"/>
        <w:gridCol w:w="989"/>
        <w:gridCol w:w="989"/>
        <w:gridCol w:w="986"/>
      </w:tblGrid>
      <w:tr>
        <w:trPr>
          <w:cantSplit/>
          <w:tblHeader/>
        </w:trPr>
        <w:tc>
          <w:tcPr>
            <w:tcW w:type="dxa" w:w="197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5"/>
                <w:szCs w:val="15"/>
              </w:rPr>
              <w:t xml:space="preserve">System</w:t>
            </w:r>
          </w:p>
        </w:tc>
        <w:tc>
          <w:tcPr>
            <w:tcW w:type="dxa" w:w="98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DPDP-specific</w:t>
            </w:r>
          </w:p>
        </w:tc>
        <w:tc>
          <w:tcPr>
            <w:tcW w:type="dxa" w:w="123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Domain-tuned model</w:t>
            </w:r>
          </w:p>
        </w:tc>
        <w:tc>
          <w:tcPr>
            <w:tcW w:type="dxa" w:w="123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Law-to-evidence mapping</w:t>
            </w:r>
          </w:p>
        </w:tc>
        <w:tc>
          <w:tcPr>
            <w:tcW w:type="dxa" w:w="123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Hallucination control</w:t>
            </w:r>
          </w:p>
        </w:tc>
        <w:tc>
          <w:tcPr>
            <w:tcW w:type="dxa" w:w="98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Runs in browser</w:t>
            </w:r>
          </w:p>
        </w:tc>
        <w:tc>
          <w:tcPr>
            <w:tcW w:type="dxa" w:w="98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Acts on findings</w:t>
            </w:r>
          </w:p>
        </w:tc>
        <w:tc>
          <w:tcPr>
            <w:tcW w:type="dxa" w:w="98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Citizen Q&amp;A</w:t>
            </w:r>
          </w:p>
        </w:tc>
      </w:tr>
      <w:tr>
        <w:trPr>
          <w:cantSplit/>
          <w:tblHeader w:val="false"/>
        </w:trPr>
        <w:tc>
          <w:tcPr>
            <w:tcW w:type="dxa" w:w="197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Liu et al. [4]</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Trained classifier</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 (Art. 13)</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Rule layer</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r>
      <w:tr>
        <w:trPr>
          <w:cantSplit/>
          <w:tblHeader w:val="false"/>
        </w:trPr>
        <w:tc>
          <w:tcPr>
            <w:tcW w:type="dxa" w:w="197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Extension audits [7], [8]</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Disclosure vs. traffic</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r>
      <w:tr>
        <w:trPr>
          <w:cantSplit/>
          <w:tblHeader w:val="false"/>
        </w:trPr>
        <w:tc>
          <w:tcPr>
            <w:tcW w:type="dxa" w:w="197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Cory et al. [33]</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 (LLM annotation)</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 (21 requirements)</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r>
      <w:tr>
        <w:trPr>
          <w:cantSplit/>
          <w:tblHeader w:val="false"/>
        </w:trPr>
        <w:tc>
          <w:tcPr>
            <w:tcW w:type="dxa" w:w="197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Interactive assessment [36]</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 (LLM)</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 (ext.)</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w:t>
            </w:r>
          </w:p>
        </w:tc>
      </w:tr>
      <w:tr>
        <w:trPr>
          <w:cantSplit/>
          <w:tblHeader w:val="false"/>
        </w:trPr>
        <w:tc>
          <w:tcPr>
            <w:tcW w:type="dxa" w:w="197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5"/>
                <w:szCs w:val="15"/>
              </w:rPr>
              <w:t>APLiance</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 (§1–7)</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 (prompted)</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 (attributes)</w:t>
            </w:r>
          </w:p>
        </w:tc>
        <w:tc>
          <w:tcPr>
            <w:tcW w:type="dxa" w:w="123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Symbolic verdict</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Yes (remote)</w:t>
            </w:r>
          </w:p>
        </w:tc>
        <w:tc>
          <w:tcPr>
            <w:tcW w:type="dxa" w:w="9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c>
          <w:tcPr>
            <w:tcW w:type="dxa" w:w="98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val="false"/>
                <w:bCs w:val="false"/>
                <w:sz w:val="15"/>
                <w:szCs w:val="15"/>
              </w:rPr>
              <w:t xml:space="preserve">No</w:t>
            </w:r>
          </w:p>
        </w:tc>
      </w:tr>
      <w:tr>
        <w:trPr>
          <w:cantSplit/>
          <w:tblHeader w:val="false"/>
        </w:trPr>
        <w:tc>
          <w:tcPr>
            <w:tcW w:type="dxa" w:w="197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5"/>
                <w:szCs w:val="15"/>
              </w:rPr>
              <w:t xml:space="preserve">Ssense</w:t>
            </w:r>
          </w:p>
        </w:tc>
        <w:tc>
          <w:tcPr>
            <w:tcW w:type="dxa" w:w="98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Yes (26 types)</w:t>
            </w:r>
          </w:p>
        </w:tc>
        <w:tc>
          <w:tcPr>
            <w:tcW w:type="dxa" w:w="123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Yes (SFT + SimPO)</w:t>
            </w:r>
          </w:p>
        </w:tc>
        <w:tc>
          <w:tcPr>
            <w:tcW w:type="dxa" w:w="123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Yes (tree)</w:t>
            </w:r>
          </w:p>
        </w:tc>
        <w:tc>
          <w:tcPr>
            <w:tcW w:type="dxa" w:w="123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Omission gate + SCL</w:t>
            </w:r>
          </w:p>
        </w:tc>
        <w:tc>
          <w:tcPr>
            <w:tcW w:type="dxa" w:w="98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Yes</w:t>
            </w:r>
          </w:p>
        </w:tc>
        <w:tc>
          <w:tcPr>
            <w:tcW w:type="dxa" w:w="98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Yes</w:t>
            </w:r>
          </w:p>
        </w:tc>
        <w:tc>
          <w:tcPr>
            <w:tcW w:type="dxa" w:w="98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center"/>
            </w:pPr>
            <w:r>
              <w:rPr>
                <w:rFonts w:ascii="Times New Roman" w:cs="Times New Roman" w:eastAsia="Times New Roman" w:hAnsi="Times New Roman"/>
                <w:b/>
                <w:bCs/>
                <w:sz w:val="15"/>
                <w:szCs w:val="15"/>
              </w:rPr>
              <w:t xml:space="preserve">Yes</w:t>
            </w:r>
          </w:p>
        </w:tc>
      </w:tr>
    </w:tbl>
    <w:p>
      <w:pPr>
        <w:spacing w:after="100"/>
      </w:pPr>
    </w:p>
    <w:p>
      <w:pPr>
        <w:keepNext/>
        <w:spacing w:after="70" w:before="140"/>
        <w:jc w:val="center"/>
      </w:pPr>
      <w:r>
        <w:rPr>
          <w:rFonts w:ascii="Times New Roman" w:cs="Times New Roman" w:eastAsia="Times New Roman" w:hAnsi="Times New Roman"/>
          <w:smallCaps/>
          <w:sz w:val="17"/>
          <w:szCs w:val="17"/>
        </w:rPr>
        <w:t xml:space="preserve">TABLE V: </w:t>
      </w:r>
      <w:r>
        <w:rPr>
          <w:rFonts w:ascii="Times New Roman" w:cs="Times New Roman" w:eastAsia="Times New Roman" w:hAnsi="Times New Roman"/>
          <w:sz w:val="16"/>
          <w:szCs w:val="16"/>
        </w:rPr>
        <w:br/>
        <w:t xml:space="preserve">RESEARCH GAPS AND SSENSE DESIGN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6"/>
        <w:gridCol w:w="4131"/>
        <w:gridCol w:w="4681"/>
      </w:tblGrid>
      <w:tr>
        <w:trPr>
          <w:cantSplit/>
          <w:tblHeader/>
        </w:trPr>
        <w:tc>
          <w:tcPr>
            <w:tcW w:type="dxa" w:w="82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Gap</w:t>
            </w:r>
          </w:p>
        </w:tc>
        <w:tc>
          <w:tcPr>
            <w:tcW w:type="dxa" w:w="413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What is missing in prior work</w:t>
            </w:r>
          </w:p>
        </w:tc>
        <w:tc>
          <w:tcPr>
            <w:tcW w:type="dxa" w:w="468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Ssense response</w:t>
            </w:r>
          </w:p>
        </w:tc>
      </w:tr>
      <w:tr>
        <w:trPr>
          <w:cantSplit/>
          <w:tblHeader w:val="false"/>
        </w:trPr>
        <w:tc>
          <w:tcPr>
            <w:tcW w:type="dxa" w:w="8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RG-1</w:t>
            </w:r>
          </w:p>
        </w:tc>
        <w:tc>
          <w:tcPr>
            <w:tcW w:type="dxa" w:w="413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Findings are not acted on.</w:t>
            </w:r>
            <w:r>
              <w:rPr>
                <w:rFonts w:ascii="Times New Roman" w:cs="Times New Roman" w:eastAsia="Times New Roman" w:hAnsi="Times New Roman"/>
                <w:b w:val="false"/>
                <w:bCs w:val="false"/>
                <w:sz w:val="16"/>
                <w:szCs w:val="16"/>
              </w:rPr>
              <w:t xml:space="preserve"> Policy checkers and extension audits report or measure; browser behaviour for the audited site stays unchanged [7], [8], [10].</w:t>
            </w:r>
          </w:p>
        </w:tc>
        <w:tc>
          <w:tcPr>
            <w:tcW w:type="dxa" w:w="46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Violation-to-action mapping in the decision tree; Manifest V3 rules, header changes, API countermeasures, GPC signal (Section VI-H).</w:t>
            </w:r>
          </w:p>
        </w:tc>
      </w:tr>
      <w:tr>
        <w:trPr>
          <w:cantSplit/>
          <w:tblHeader w:val="false"/>
        </w:trPr>
        <w:tc>
          <w:tcPr>
            <w:tcW w:type="dxa" w:w="8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RG-2</w:t>
            </w:r>
          </w:p>
        </w:tc>
        <w:tc>
          <w:tcPr>
            <w:tcW w:type="dxa" w:w="413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No statute-adapted model for the DPDP Act.</w:t>
            </w:r>
            <w:r>
              <w:rPr>
                <w:rFonts w:ascii="Times New Roman" w:cs="Times New Roman" w:eastAsia="Times New Roman" w:hAnsi="Times New Roman"/>
                <w:b w:val="false"/>
                <w:bCs w:val="false"/>
                <w:sz w:val="16"/>
                <w:szCs w:val="16"/>
              </w:rPr>
              <w:t xml:space="preserve"> Indian legal adaptation exists [3] and the closest DPDP checker prompts a general model; compliance corpora use GDPR or CCPA [4], [6], [33].</w:t>
            </w:r>
          </w:p>
        </w:tc>
        <w:tc>
          <w:tcPr>
            <w:tcW w:type="dxa" w:w="46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Qwen2.5-7B with rsLoRA adapters, SFT then SimPO, trained on statute-grounded synthetic pairs (Section VI-C).</w:t>
            </w:r>
          </w:p>
        </w:tc>
      </w:tr>
      <w:tr>
        <w:trPr>
          <w:cantSplit/>
          <w:tblHeader w:val="false"/>
        </w:trPr>
        <w:tc>
          <w:tcPr>
            <w:tcW w:type="dxa" w:w="8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RG-3</w:t>
            </w:r>
          </w:p>
        </w:tc>
        <w:tc>
          <w:tcPr>
            <w:tcW w:type="dxa" w:w="413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Held-out statute generalisation is untested.</w:t>
            </w:r>
            <w:r>
              <w:rPr>
                <w:rFonts w:ascii="Times New Roman" w:cs="Times New Roman" w:eastAsia="Times New Roman" w:hAnsi="Times New Roman"/>
                <w:b w:val="false"/>
                <w:bCs w:val="false"/>
                <w:sz w:val="16"/>
                <w:szCs w:val="16"/>
              </w:rPr>
              <w:t xml:space="preserve"> A closed-book auditor must handle provisions it has not seen; retrieval benchmarks do not test this [19], [21].</w:t>
            </w:r>
          </w:p>
        </w:tc>
        <w:tc>
          <w:tcPr>
            <w:tcW w:type="dxa" w:w="46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Separate tests for auditor (held-out provisions) and chatbot (retrieval, citation, entailment); study E2.</w:t>
            </w:r>
          </w:p>
        </w:tc>
      </w:tr>
      <w:tr>
        <w:trPr>
          <w:cantSplit/>
          <w:tblHeader w:val="false"/>
        </w:trPr>
        <w:tc>
          <w:tcPr>
            <w:tcW w:type="dxa" w:w="8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RG-4</w:t>
            </w:r>
          </w:p>
        </w:tc>
        <w:tc>
          <w:tcPr>
            <w:tcW w:type="dxa" w:w="413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Synthetic data and model judges are not self-validating.</w:t>
            </w:r>
            <w:r>
              <w:rPr>
                <w:rFonts w:ascii="Times New Roman" w:cs="Times New Roman" w:eastAsia="Times New Roman" w:hAnsi="Times New Roman"/>
                <w:b w:val="false"/>
                <w:bCs w:val="false"/>
                <w:sz w:val="16"/>
                <w:szCs w:val="16"/>
              </w:rPr>
              <w:t xml:space="preserve"> Judge agreement is task-specific [25], [26] and recursive generation can erode distribution tails [27].</w:t>
            </w:r>
          </w:p>
        </w:tc>
        <w:tc>
          <w:tcPr>
            <w:tcW w:type="dxa" w:w="46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Rule-based filter, real policy excerpts retained, contamination check; rubric judges only as an extra signal (Section VI-C).</w:t>
            </w:r>
          </w:p>
        </w:tc>
      </w:tr>
      <w:tr>
        <w:trPr>
          <w:cantSplit/>
          <w:tblHeader w:val="false"/>
        </w:trPr>
        <w:tc>
          <w:tcPr>
            <w:tcW w:type="dxa" w:w="8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RG-5</w:t>
            </w:r>
          </w:p>
        </w:tc>
        <w:tc>
          <w:tcPr>
            <w:tcW w:type="dxa" w:w="413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Silence and omission are handled implicitly.</w:t>
            </w:r>
            <w:r>
              <w:rPr>
                <w:rFonts w:ascii="Times New Roman" w:cs="Times New Roman" w:eastAsia="Times New Roman" w:hAnsi="Times New Roman"/>
                <w:b w:val="false"/>
                <w:bCs w:val="false"/>
                <w:sz w:val="16"/>
                <w:szCs w:val="16"/>
              </w:rPr>
              <w:t xml:space="preserve"> Unknown attributes are treated conservatively, or the issue is not discussed.</w:t>
            </w:r>
          </w:p>
        </w:tc>
        <w:tc>
          <w:tcPr>
            <w:tcW w:type="dxa" w:w="46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Explicit </w:t>
            </w:r>
            <w:r>
              <w:rPr>
                <w:rFonts w:ascii="Courier New" w:cs="Courier New" w:eastAsia="Courier New" w:hAnsi="Courier New"/>
                <w:b w:val="false"/>
                <w:bCs w:val="false"/>
                <w:sz w:val="14"/>
                <w:szCs w:val="14"/>
              </w:rPr>
              <w:t xml:space="preserve">omission_check</w:t>
            </w:r>
            <w:r>
              <w:rPr>
                <w:rFonts w:ascii="Times New Roman" w:cs="Times New Roman" w:eastAsia="Times New Roman" w:hAnsi="Times New Roman"/>
                <w:b w:val="false"/>
                <w:bCs w:val="false"/>
                <w:sz w:val="16"/>
                <w:szCs w:val="16"/>
              </w:rPr>
              <w:t xml:space="preserve">; findings from silence are dropped; semantic difference analysed (Sections V and VIII).</w:t>
            </w:r>
          </w:p>
        </w:tc>
      </w:tr>
      <w:tr>
        <w:trPr>
          <w:cantSplit/>
          <w:tblHeader w:val="false"/>
        </w:trPr>
        <w:tc>
          <w:tcPr>
            <w:tcW w:type="dxa" w:w="8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RG-6</w:t>
            </w:r>
          </w:p>
        </w:tc>
        <w:tc>
          <w:tcPr>
            <w:tcW w:type="dxa" w:w="413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Injection robustness is not evaluated for policy auditors.</w:t>
            </w:r>
            <w:r>
              <w:rPr>
                <w:rFonts w:ascii="Times New Roman" w:cs="Times New Roman" w:eastAsia="Times New Roman" w:hAnsi="Times New Roman"/>
                <w:b w:val="false"/>
                <w:bCs w:val="false"/>
                <w:sz w:val="16"/>
                <w:szCs w:val="16"/>
              </w:rPr>
              <w:t xml:space="preserve"> Benchmarks cover general applications [39]–[41].</w:t>
            </w:r>
          </w:p>
        </w:tc>
        <w:tc>
          <w:tcPr>
            <w:tcW w:type="dxa" w:w="468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Input hardening, schema repair and an injection axis in the certification matrix (Section VI-J).</w:t>
            </w:r>
          </w:p>
        </w:tc>
      </w:tr>
      <w:tr>
        <w:trPr>
          <w:cantSplit/>
          <w:tblHeader w:val="false"/>
        </w:trPr>
        <w:tc>
          <w:tcPr>
            <w:tcW w:type="dxa" w:w="82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RG-7</w:t>
            </w:r>
          </w:p>
        </w:tc>
        <w:tc>
          <w:tcPr>
            <w:tcW w:type="dxa" w:w="413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Citizen explanation lacks statute grounding and user evidence.</w:t>
            </w:r>
            <w:r>
              <w:rPr>
                <w:rFonts w:ascii="Times New Roman" w:cs="Times New Roman" w:eastAsia="Times New Roman" w:hAnsi="Times New Roman"/>
                <w:b w:val="false"/>
                <w:bCs w:val="false"/>
                <w:sz w:val="16"/>
                <w:szCs w:val="16"/>
              </w:rPr>
              <w:t xml:space="preserve"> Many HCI studies of privacy tools lack users [1], and interactive assistants are not tied to a statute [36].</w:t>
            </w:r>
          </w:p>
        </w:tc>
        <w:tc>
          <w:tcPr>
            <w:tcW w:type="dxa" w:w="468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Chatbot adapter over the stored audit and statute context; comprehension study E5 (Section VI-I).</w:t>
            </w:r>
          </w:p>
        </w:tc>
      </w:tr>
    </w:tbl>
    <w:p>
      <w:pPr>
        <w:spacing w:after="100"/>
      </w:pPr>
    </w:p>
    <w:p>
      <w:pPr>
        <w:keepNext/>
        <w:spacing w:after="70" w:before="140"/>
        <w:jc w:val="center"/>
      </w:pPr>
      <w:r>
        <w:rPr>
          <w:rFonts w:ascii="Times New Roman" w:cs="Times New Roman" w:eastAsia="Times New Roman" w:hAnsi="Times New Roman"/>
          <w:smallCaps/>
          <w:sz w:val="17"/>
          <w:szCs w:val="17"/>
        </w:rPr>
        <w:t xml:space="preserve">TABLE VI: </w:t>
      </w:r>
      <w:r>
        <w:rPr>
          <w:rFonts w:ascii="Times New Roman" w:cs="Times New Roman" w:eastAsia="Times New Roman" w:hAnsi="Times New Roman"/>
          <w:sz w:val="16"/>
          <w:szCs w:val="16"/>
        </w:rPr>
        <w:br/>
        <w:t xml:space="preserve">GAPS THAT SSENSE DOES NOT CLOSE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2"/>
        <w:gridCol w:w="4626"/>
        <w:gridCol w:w="2570"/>
      </w:tblGrid>
      <w:tr>
        <w:trPr>
          <w:cantSplit/>
          <w:tblHeader/>
        </w:trPr>
        <w:tc>
          <w:tcPr>
            <w:tcW w:type="dxa" w:w="2442"/>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Gap</w:t>
            </w:r>
          </w:p>
        </w:tc>
        <w:tc>
          <w:tcPr>
            <w:tcW w:type="dxa" w:w="462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Description</w:t>
            </w:r>
          </w:p>
        </w:tc>
        <w:tc>
          <w:tcPr>
            <w:tcW w:type="dxa" w:w="257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Status</w:t>
            </w:r>
          </w:p>
        </w:tc>
      </w:tr>
      <w:tr>
        <w:trPr>
          <w:cantSplit/>
          <w:tblHeader w:val="false"/>
        </w:trPr>
        <w:tc>
          <w:tcPr>
            <w:tcW w:type="dxa" w:w="24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Multilingual notices</w:t>
            </w:r>
          </w:p>
        </w:tc>
        <w:tc>
          <w:tcPr>
            <w:tcW w:type="dxa" w:w="46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Policies in Eighth Schedule languages are dropped at extraction; APLiance found none of 25 policies met the all-language requirement.</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Future work (Section XII)</w:t>
            </w:r>
          </w:p>
        </w:tc>
      </w:tr>
      <w:tr>
        <w:trPr>
          <w:cantSplit/>
          <w:tblHeader w:val="false"/>
        </w:trPr>
        <w:tc>
          <w:tcPr>
            <w:tcW w:type="dxa" w:w="24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Public benchmark</w:t>
            </w:r>
          </w:p>
        </w:tc>
        <w:tc>
          <w:tcPr>
            <w:tcW w:type="dxa" w:w="46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No peer-reviewed benchmark of DPDP policy audits was found in the surveyed sources; our pilot has 10 sites.</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Planned study E1 (Table XX)</w:t>
            </w:r>
          </w:p>
        </w:tc>
      </w:tr>
      <w:tr>
        <w:trPr>
          <w:cantSplit/>
          <w:tblHeader w:val="false"/>
        </w:trPr>
        <w:tc>
          <w:tcPr>
            <w:tcW w:type="dxa" w:w="24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User outcomes</w:t>
            </w:r>
          </w:p>
        </w:tc>
        <w:tc>
          <w:tcPr>
            <w:tcW w:type="dxa" w:w="46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No measured effect on user comprehension or on site breakage.</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Planned studies E4, E5</w:t>
            </w:r>
          </w:p>
        </w:tc>
      </w:tr>
      <w:tr>
        <w:trPr>
          <w:cantSplit/>
          <w:tblHeader w:val="false"/>
        </w:trPr>
        <w:tc>
          <w:tcPr>
            <w:tcW w:type="dxa" w:w="24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Rule coverage</w:t>
            </w:r>
          </w:p>
        </w:tc>
        <w:tc>
          <w:tcPr>
            <w:tcW w:type="dxa" w:w="46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Sections beyond the 26 types, and Rules still being finalised, are not encoded.</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Corpus refresh before release</w:t>
            </w:r>
          </w:p>
        </w:tc>
      </w:tr>
      <w:tr>
        <w:trPr>
          <w:cantSplit/>
          <w:tblHeader w:val="false"/>
        </w:trPr>
        <w:tc>
          <w:tcPr>
            <w:tcW w:type="dxa" w:w="24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On-device inference</w:t>
            </w:r>
          </w:p>
        </w:tc>
        <w:tc>
          <w:tcPr>
            <w:tcW w:type="dxa" w:w="462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 GGUF export exists but the evaluated path is server-side.</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Future work</w:t>
            </w:r>
          </w:p>
        </w:tc>
      </w:tr>
      <w:tr>
        <w:trPr>
          <w:cantSplit/>
          <w:tblHeader w:val="false"/>
        </w:trPr>
        <w:tc>
          <w:tcPr>
            <w:tcW w:type="dxa" w:w="2442"/>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Component validation</w:t>
            </w:r>
          </w:p>
        </w:tc>
        <w:tc>
          <w:tcPr>
            <w:tcW w:type="dxa" w:w="462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The JSON-schema gate, omission firewall, MinHash contamination test, Wilson certification and 4-bit GGUF configuration are not yet isolated by ablation.</w:t>
            </w:r>
          </w:p>
        </w:tc>
        <w:tc>
          <w:tcPr>
            <w:tcW w:type="dxa" w:w="257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Study E2</w:t>
            </w:r>
          </w:p>
        </w:tc>
      </w:tr>
    </w:tbl>
    <w:p>
      <w:pPr>
        <w:spacing w:after="100"/>
      </w:pPr>
    </w:p>
    <w:p>
      <w:pPr>
        <w:pStyle w:val="Heading1"/>
        <w:keepNext/>
        <w:spacing w:after="110" w:before="260"/>
        <w:jc w:val="center"/>
      </w:pPr>
      <w:r>
        <w:rPr>
          <w:rFonts w:ascii="Times New Roman" w:cs="Times New Roman" w:eastAsia="Times New Roman" w:hAnsi="Times New Roman"/>
          <w:sz w:val="20"/>
          <w:szCs w:val="20"/>
        </w:rPr>
        <w:t xml:space="preserve">V. LEGAL FORMALISATION</w:t>
      </w:r>
    </w:p>
    <w:p>
      <w:pPr>
        <w:pStyle w:val="Heading2"/>
        <w:keepNext/>
        <w:spacing w:after="80" w:before="160"/>
      </w:pPr>
      <w:r>
        <w:rPr>
          <w:rFonts w:ascii="Times New Roman" w:cs="Times New Roman" w:eastAsia="Times New Roman" w:hAnsi="Times New Roman"/>
          <w:i/>
          <w:iCs/>
          <w:sz w:val="20"/>
          <w:szCs w:val="20"/>
        </w:rPr>
        <w:t xml:space="preserve">A. From 44 sections to 26 enforceable violation types</w:t>
      </w:r>
    </w:p>
    <w:p>
      <w:pPr>
        <w:spacing w:after="100" w:before="0" w:line="248"/>
        <w:jc w:val="both"/>
      </w:pPr>
      <w:r>
        <w:rPr>
          <w:rFonts w:ascii="Times New Roman" w:cs="Times New Roman" w:eastAsia="Times New Roman" w:hAnsi="Times New Roman"/>
          <w:sz w:val="19"/>
          <w:szCs w:val="19"/>
        </w:rPr>
        <w:t xml:space="preserve">Not every section of the Act can be breached by the content of a privacy policy. Sections 18 to 26 constitute the Data Protection Board and set out its powers and procedure, and Sections 29 to 32 deal with appeals before the Appellate Tribunal. Let S_total be the set of 44 sections, S_admin the Board provisions and S_tribunal the appeal provisions. The set of provisions a fiduciary can breach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1876425" cy="200025"/>
                  <wp:effectExtent t="0" r="0" b="0" l="0"/>
                  <wp:docPr id="1" name="e_prune" descr="e_prune" title="e_prun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1876425"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w:t>
            </w:r>
          </w:p>
        </w:tc>
      </w:tr>
    </w:tbl>
    <w:p>
      <w:pPr>
        <w:spacing w:after="40"/>
      </w:pPr>
    </w:p>
    <w:p>
      <w:pPr>
        <w:spacing w:after="100" w:before="0" w:line="248"/>
        <w:jc w:val="both"/>
      </w:pPr>
      <w:r>
        <w:rPr>
          <w:rFonts w:ascii="Times New Roman" w:cs="Times New Roman" w:eastAsia="Times New Roman" w:hAnsi="Times New Roman"/>
          <w:sz w:val="19"/>
          <w:szCs w:val="19"/>
        </w:rPr>
        <w:t xml:space="preserve">and the sections in this set are grouped into 26 named violation types. A decision tree built from the statute stores, for every type, the governing section, a severity class and a network action. At inference time the section cited in a report is looked up from the tree, not generated by the model, which removes one route to fabricated citations. The schema enumerates the 26 types; Table VII lists the 18 documented in the project methodology, grouped by the part of the Act they come from.</w:t>
      </w:r>
    </w:p>
    <w:p>
      <w:pPr>
        <w:keepNext/>
        <w:spacing w:after="70" w:before="140"/>
        <w:jc w:val="center"/>
      </w:pPr>
      <w:r>
        <w:rPr>
          <w:rFonts w:ascii="Times New Roman" w:cs="Times New Roman" w:eastAsia="Times New Roman" w:hAnsi="Times New Roman"/>
          <w:smallCaps/>
          <w:sz w:val="17"/>
          <w:szCs w:val="17"/>
        </w:rPr>
        <w:t xml:space="preserve">TABLE VII: </w:t>
      </w:r>
      <w:r>
        <w:rPr>
          <w:rFonts w:ascii="Times New Roman" w:cs="Times New Roman" w:eastAsia="Times New Roman" w:hAnsi="Times New Roman"/>
          <w:sz w:val="16"/>
          <w:szCs w:val="16"/>
        </w:rPr>
        <w:br/>
        <w:t xml:space="preserve">DOCUMENTED VIOLATION TYPES BY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6"/>
        <w:gridCol w:w="7582"/>
      </w:tblGrid>
      <w:tr>
        <w:trPr>
          <w:cantSplit/>
          <w:tblHeader/>
        </w:trPr>
        <w:tc>
          <w:tcPr>
            <w:tcW w:type="dxa" w:w="205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Group</w:t>
            </w:r>
          </w:p>
        </w:tc>
        <w:tc>
          <w:tcPr>
            <w:tcW w:type="dxa" w:w="7582"/>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Violation types</w:t>
            </w:r>
          </w:p>
        </w:tc>
      </w:tr>
      <w:tr>
        <w:trPr>
          <w:cantSplit/>
          <w:tblHeader w:val="false"/>
        </w:trPr>
        <w:tc>
          <w:tcPr>
            <w:tcW w:type="dxa" w:w="20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Consent defects</w:t>
            </w:r>
          </w:p>
        </w:tc>
        <w:tc>
          <w:tcPr>
            <w:tcW w:type="dxa" w:w="7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CONSENT_NOT_FREE_OR_SPECIFIC</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CONSENT_MECHANICS_VIOLATION</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CONSENT_MANAGER_OBSTRUCTION</w:t>
            </w:r>
          </w:p>
        </w:tc>
      </w:tr>
      <w:tr>
        <w:trPr>
          <w:cantSplit/>
          <w:tblHeader w:val="false"/>
        </w:trPr>
        <w:tc>
          <w:tcPr>
            <w:tcW w:type="dxa" w:w="20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Purpose and retention</w:t>
            </w:r>
          </w:p>
        </w:tc>
        <w:tc>
          <w:tcPr>
            <w:tcW w:type="dxa" w:w="7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PURPOSE_LIMITATION_VIOLATION</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DATA_RETENTION_LIMIT_EXCEEDED</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ERASURE_NOTICE_PERIOD_VIOLATION</w:t>
            </w:r>
          </w:p>
        </w:tc>
      </w:tr>
      <w:tr>
        <w:trPr>
          <w:cantSplit/>
          <w:tblHeader w:val="false"/>
        </w:trPr>
        <w:tc>
          <w:tcPr>
            <w:tcW w:type="dxa" w:w="20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Special categories</w:t>
            </w:r>
          </w:p>
        </w:tc>
        <w:tc>
          <w:tcPr>
            <w:tcW w:type="dxa" w:w="7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CHILD_CONSENT_VIOLATION</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CROSS_BORDER_TRANSFER_VIOLATION</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SDF_DATA_LOCALIZATION_VIOLATION</w:t>
            </w:r>
          </w:p>
        </w:tc>
      </w:tr>
      <w:tr>
        <w:trPr>
          <w:cantSplit/>
          <w:tblHeader w:val="false"/>
        </w:trPr>
        <w:tc>
          <w:tcPr>
            <w:tcW w:type="dxa" w:w="20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Security and accountability</w:t>
            </w:r>
          </w:p>
        </w:tc>
        <w:tc>
          <w:tcPr>
            <w:tcW w:type="dxa" w:w="7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SECURITY_SAFEGUARDS_MISSING</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BREACH_NOTIFICATION_FAILURE</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PROCESSOR_ACCOUNTABILITY_VIOLATION</w:t>
            </w:r>
          </w:p>
        </w:tc>
      </w:tr>
      <w:tr>
        <w:trPr>
          <w:cantSplit/>
          <w:tblHeader w:val="false"/>
        </w:trPr>
        <w:tc>
          <w:tcPr>
            <w:tcW w:type="dxa" w:w="20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Rights and redress</w:t>
            </w:r>
          </w:p>
        </w:tc>
        <w:tc>
          <w:tcPr>
            <w:tcW w:type="dxa" w:w="758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GRIEVANCE_REDRESSAL_INADEQUATE</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RIGHTS_IMPLEMENTATION_VIOLATION</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APPEAL_PROCESS_VIOLATION</w:t>
            </w:r>
          </w:p>
        </w:tc>
      </w:tr>
      <w:tr>
        <w:trPr>
          <w:cantSplit/>
          <w:tblHeader w:val="false"/>
        </w:trPr>
        <w:tc>
          <w:tcPr>
            <w:tcW w:type="dxa" w:w="205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Systemic</w:t>
            </w:r>
          </w:p>
        </w:tc>
        <w:tc>
          <w:tcPr>
            <w:tcW w:type="dxa" w:w="7582"/>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ALGORITHMIC_PROFILING_SDF</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SCOPE_APPLICATION_EVASION</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BOARD_COMPLIANCE_VIOLATION</w:t>
            </w:r>
          </w:p>
        </w:tc>
      </w:tr>
    </w:tbl>
    <w:p>
      <w:pPr>
        <w:spacing w:after="100"/>
      </w:pPr>
    </w:p>
    <w:p>
      <w:pPr>
        <w:spacing w:after="120"/>
        <w:jc w:val="both"/>
      </w:pPr>
      <w:r>
        <w:rPr>
          <w:rFonts w:ascii="Times New Roman" w:cs="Times New Roman" w:eastAsia="Times New Roman" w:hAnsi="Times New Roman"/>
          <w:sz w:val="17"/>
          <w:szCs w:val="17"/>
        </w:rPr>
        <w:t xml:space="preserve">The remaining types of the 26 are enumerated in the repository schema (</w:t>
      </w:r>
      <w:r>
        <w:rPr>
          <w:rFonts w:ascii="Courier New" w:cs="Courier New" w:eastAsia="Courier New" w:hAnsi="Courier New"/>
          <w:sz w:val="15"/>
          <w:szCs w:val="15"/>
        </w:rPr>
        <w:t xml:space="preserve">dpdp_schema.json</w:t>
      </w:r>
      <w:r>
        <w:rPr>
          <w:rFonts w:ascii="Times New Roman" w:cs="Times New Roman" w:eastAsia="Times New Roman" w:hAnsi="Times New Roman"/>
          <w:sz w:val="17"/>
          <w:szCs w:val="17"/>
        </w:rPr>
        <w:t xml:space="preserve">) and will be listed in full once the section mapping has been audited against the statute text.</w:t>
      </w:r>
    </w:p>
    <w:p>
      <w:pPr>
        <w:pStyle w:val="Heading2"/>
        <w:keepNext/>
        <w:spacing w:after="80" w:before="160"/>
      </w:pPr>
      <w:r>
        <w:rPr>
          <w:rFonts w:ascii="Times New Roman" w:cs="Times New Roman" w:eastAsia="Times New Roman" w:hAnsi="Times New Roman"/>
          <w:i/>
          <w:iCs/>
          <w:sz w:val="20"/>
          <w:szCs w:val="20"/>
        </w:rPr>
        <w:t xml:space="preserve">B. Violation-to-action mapping</w:t>
      </w:r>
    </w:p>
    <w:p>
      <w:pPr>
        <w:spacing w:after="100" w:before="0" w:line="248"/>
        <w:jc w:val="both"/>
      </w:pPr>
      <w:r>
        <w:rPr>
          <w:rFonts w:ascii="Times New Roman" w:cs="Times New Roman" w:eastAsia="Times New Roman" w:hAnsi="Times New Roman"/>
          <w:sz w:val="19"/>
          <w:szCs w:val="19"/>
        </w:rPr>
        <w:t xml:space="preserve">Each confirmed violation maps to one of five actions. The assignment is intentionally uneven. Conduct that exposes data immediately and irreversibly, such as tracking children or transferring data abroad without authority, maps to a blocking action. Conduct whose remedy is organisational, such as an inadequate notice or retention without a limit, maps to a warning, because blocking a request would break the site without protecting the user any further. Table VIII gives representative mappings; the decision tree is the authoritative source.</w:t>
      </w:r>
    </w:p>
    <w:p>
      <w:pPr>
        <w:keepNext/>
        <w:spacing w:after="70" w:before="140"/>
        <w:jc w:val="center"/>
      </w:pPr>
      <w:r>
        <w:rPr>
          <w:rFonts w:ascii="Times New Roman" w:cs="Times New Roman" w:eastAsia="Times New Roman" w:hAnsi="Times New Roman"/>
          <w:smallCaps/>
          <w:sz w:val="17"/>
          <w:szCs w:val="17"/>
        </w:rPr>
        <w:t xml:space="preserve">TABLE VIII: </w:t>
      </w:r>
      <w:r>
        <w:rPr>
          <w:rFonts w:ascii="Times New Roman" w:cs="Times New Roman" w:eastAsia="Times New Roman" w:hAnsi="Times New Roman"/>
          <w:sz w:val="16"/>
          <w:szCs w:val="16"/>
        </w:rPr>
        <w:br/>
        <w:t xml:space="preserve">REPRESENTATIVE STATUTE-TO-ACTION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2289"/>
        <w:gridCol w:w="2530"/>
      </w:tblGrid>
      <w:tr>
        <w:trPr>
          <w:cantSplit/>
          <w:tblHeader/>
        </w:trPr>
        <w:tc>
          <w:tcPr>
            <w:tcW w:type="dxa" w:w="964"/>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Section</w:t>
            </w:r>
          </w:p>
        </w:tc>
        <w:tc>
          <w:tcPr>
            <w:tcW w:type="dxa" w:w="3855"/>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Violation type</w:t>
            </w:r>
          </w:p>
        </w:tc>
        <w:tc>
          <w:tcPr>
            <w:tcW w:type="dxa" w:w="228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Class</w:t>
            </w:r>
          </w:p>
        </w:tc>
        <w:tc>
          <w:tcPr>
            <w:tcW w:type="dxa" w:w="253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Action</w:t>
            </w:r>
          </w:p>
        </w:tc>
      </w:tr>
      <w:tr>
        <w:trPr>
          <w:cantSplit/>
          <w:tblHeader w:val="false"/>
        </w:trPr>
        <w:tc>
          <w:tcPr>
            <w:tcW w:type="dxa" w:w="9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5(1), Rule 3</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NOTICE_INADEQUATE</w:t>
            </w:r>
          </w:p>
        </w:tc>
        <w:tc>
          <w:tcPr>
            <w:tcW w:type="dxa" w:w="2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Warn</w:t>
            </w:r>
          </w:p>
        </w:tc>
        <w:tc>
          <w:tcPr>
            <w:tcW w:type="dxa" w:w="253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WARN_USER_ONLY</w:t>
            </w:r>
          </w:p>
        </w:tc>
      </w:tr>
      <w:tr>
        <w:trPr>
          <w:cantSplit/>
          <w:tblHeader w:val="false"/>
        </w:trPr>
        <w:tc>
          <w:tcPr>
            <w:tcW w:type="dxa" w:w="9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6(1)</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CONSENT_NOT_FREE_OR_SPECIFIC</w:t>
            </w:r>
          </w:p>
        </w:tc>
        <w:tc>
          <w:tcPr>
            <w:tcW w:type="dxa" w:w="2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Block</w:t>
            </w:r>
          </w:p>
        </w:tc>
        <w:tc>
          <w:tcPr>
            <w:tcW w:type="dxa" w:w="253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BLOCK_THIRD_PARTY</w:t>
            </w:r>
          </w:p>
        </w:tc>
      </w:tr>
      <w:tr>
        <w:trPr>
          <w:cantSplit/>
          <w:tblHeader w:val="false"/>
        </w:trPr>
        <w:tc>
          <w:tcPr>
            <w:tcW w:type="dxa" w:w="9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8(5)</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SECURITY_SAFEGUARDS_MISSING</w:t>
            </w:r>
          </w:p>
        </w:tc>
        <w:tc>
          <w:tcPr>
            <w:tcW w:type="dxa" w:w="2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Warn</w:t>
            </w:r>
          </w:p>
        </w:tc>
        <w:tc>
          <w:tcPr>
            <w:tcW w:type="dxa" w:w="253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WARN_USER_ONLY</w:t>
            </w:r>
          </w:p>
        </w:tc>
      </w:tr>
      <w:tr>
        <w:trPr>
          <w:cantSplit/>
          <w:tblHeader w:val="false"/>
        </w:trPr>
        <w:tc>
          <w:tcPr>
            <w:tcW w:type="dxa" w:w="9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8(7)</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DATA_RETENTION_LIMIT_EXCEEDED</w:t>
            </w:r>
          </w:p>
        </w:tc>
        <w:tc>
          <w:tcPr>
            <w:tcW w:type="dxa" w:w="2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Warn</w:t>
            </w:r>
          </w:p>
        </w:tc>
        <w:tc>
          <w:tcPr>
            <w:tcW w:type="dxa" w:w="253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WARN_USER_ONLY</w:t>
            </w:r>
          </w:p>
        </w:tc>
      </w:tr>
      <w:tr>
        <w:trPr>
          <w:cantSplit/>
          <w:tblHeader w:val="false"/>
        </w:trPr>
        <w:tc>
          <w:tcPr>
            <w:tcW w:type="dxa" w:w="9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9(1)</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CHILD_CONSENT_VIOLATION</w:t>
            </w:r>
          </w:p>
        </w:tc>
        <w:tc>
          <w:tcPr>
            <w:tcW w:type="dxa" w:w="2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Block</w:t>
            </w:r>
          </w:p>
        </w:tc>
        <w:tc>
          <w:tcPr>
            <w:tcW w:type="dxa" w:w="253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BLOCK_THIRD_PARTY</w:t>
            </w:r>
          </w:p>
        </w:tc>
      </w:tr>
      <w:tr>
        <w:trPr>
          <w:cantSplit/>
          <w:tblHeader w:val="false"/>
        </w:trPr>
        <w:tc>
          <w:tcPr>
            <w:tcW w:type="dxa" w:w="96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13(1)</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GRIEVANCE_REDRESSAL_INADEQUATE</w:t>
            </w:r>
          </w:p>
        </w:tc>
        <w:tc>
          <w:tcPr>
            <w:tcW w:type="dxa" w:w="228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Warn</w:t>
            </w:r>
          </w:p>
        </w:tc>
        <w:tc>
          <w:tcPr>
            <w:tcW w:type="dxa" w:w="253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WARN_USER_ONLY</w:t>
            </w:r>
          </w:p>
        </w:tc>
      </w:tr>
      <w:tr>
        <w:trPr>
          <w:cantSplit/>
          <w:tblHeader w:val="false"/>
        </w:trPr>
        <w:tc>
          <w:tcPr>
            <w:tcW w:type="dxa" w:w="964"/>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16(1)</w:t>
            </w:r>
          </w:p>
        </w:tc>
        <w:tc>
          <w:tcPr>
            <w:tcW w:type="dxa" w:w="3855"/>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CROSS_BORDER_TRANSFER_VIOLATION</w:t>
            </w:r>
          </w:p>
        </w:tc>
        <w:tc>
          <w:tcPr>
            <w:tcW w:type="dxa" w:w="228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Block</w:t>
            </w:r>
          </w:p>
        </w:tc>
        <w:tc>
          <w:tcPr>
            <w:tcW w:type="dxa" w:w="253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BLOCK_THIRD_PARTY</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C. Silence is not a breach</w:t>
      </w:r>
    </w:p>
    <w:p>
      <w:pPr>
        <w:spacing w:after="100" w:before="0" w:line="248"/>
        <w:jc w:val="both"/>
      </w:pPr>
      <w:r>
        <w:rPr>
          <w:rFonts w:ascii="Times New Roman" w:cs="Times New Roman" w:eastAsia="Times New Roman" w:hAnsi="Times New Roman"/>
          <w:sz w:val="19"/>
          <w:szCs w:val="19"/>
        </w:rPr>
        <w:t>Ssense treats an affirmative claim in the policy as the only admissible basis for a violation. If a policy does not mention cross-border transfer, the system does not report a transfer violation, because the policy has not said that any transfer occurs. If the policy states that data is kept “indefinitely”, that is an affirmative claim that can be matched to Section 8(7). This is a design decision with a cost: a fiduciary that omits a notice element required by Section 5 is not penalised by the omission gate for the omission alone. The notice-adequacy type remains available when the policy affirmatively describes a practice that conflicts with the notice requirements. APLiance makes the opposite choice for attributes the policy leaves unspecified, treating a request as violating if any admissible value of an unknown attribute would lead to denial. Neither choice is neutral, and Section VIII analyses how the choice changes what “compliant” means.</w:t>
      </w:r>
    </w:p>
    <w:p>
      <w:pPr>
        <w:pStyle w:val="Heading2"/>
        <w:keepNext/>
        <w:spacing w:after="80" w:before="160"/>
      </w:pPr>
      <w:r>
        <w:rPr>
          <w:rFonts w:ascii="Times New Roman" w:cs="Times New Roman" w:eastAsia="Times New Roman" w:hAnsi="Times New Roman"/>
          <w:i/>
          <w:iCs/>
          <w:sz w:val="20"/>
          <w:szCs w:val="20"/>
        </w:rPr>
        <w:t xml:space="preserve">D. Scoring</w:t>
      </w:r>
    </w:p>
    <w:p>
      <w:pPr>
        <w:spacing w:after="100" w:before="0" w:line="248"/>
        <w:jc w:val="both"/>
      </w:pPr>
      <w:r>
        <w:rPr>
          <w:rFonts w:ascii="Times New Roman" w:cs="Times New Roman" w:eastAsia="Times New Roman" w:hAnsi="Times New Roman"/>
          <w:sz w:val="19"/>
          <w:szCs w:val="19"/>
        </w:rPr>
        <w:t xml:space="preserve">Every report carries a trust score and a subtlety score, both in the range 0 to 100. The trust score starts at 100 and decreases with each confirmed violation by a weight w that depends on the severity class s(v) of the violation type: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1685925" cy="333375"/>
                  <wp:effectExtent t="0" r="0" b="0" l="0"/>
                  <wp:docPr id="1" name="e_trust" descr="e_trust" title="e_trus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1685925" cy="3333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(2)</w:t>
            </w:r>
          </w:p>
        </w:tc>
      </w:tr>
    </w:tbl>
    <w:p>
      <w:pPr>
        <w:spacing w:after="40"/>
      </w:pPr>
    </w:p>
    <w:p>
      <w:pPr>
        <w:spacing w:after="100" w:before="0" w:line="248"/>
        <w:jc w:val="both"/>
      </w:pPr>
      <w:r>
        <w:rPr>
          <w:rFonts w:ascii="Times New Roman" w:cs="Times New Roman" w:eastAsia="Times New Roman" w:hAnsi="Times New Roman"/>
          <w:sz w:val="19"/>
          <w:szCs w:val="19"/>
        </w:rPr>
        <w:t xml:space="preserve">The weights are set in the system configuration. The subtlety score estimates how effectively violating text is disguised in legal phrasing, and is reported separately because a short, plainly worded violation and a long, carefully worded one can have the same trust score yet pose different risks to a reader.</w:t>
      </w:r>
    </w:p>
    <w:p>
      <w:pPr>
        <w:pStyle w:val="Heading1"/>
        <w:keepNext/>
        <w:spacing w:after="110" w:before="260"/>
        <w:jc w:val="center"/>
      </w:pPr>
      <w:r>
        <w:rPr>
          <w:rFonts w:ascii="Times New Roman" w:cs="Times New Roman" w:eastAsia="Times New Roman" w:hAnsi="Times New Roman"/>
          <w:sz w:val="20"/>
          <w:szCs w:val="20"/>
        </w:rPr>
        <w:t xml:space="preserve">VI. SYSTEM DESIGN</w:t>
      </w:r>
    </w:p>
    <w:p>
      <w:pPr>
        <w:pStyle w:val="Heading2"/>
        <w:keepNext/>
        <w:spacing w:after="80" w:before="160"/>
      </w:pPr>
      <w:r>
        <w:rPr>
          <w:rFonts w:ascii="Times New Roman" w:cs="Times New Roman" w:eastAsia="Times New Roman" w:hAnsi="Times New Roman"/>
          <w:i/>
          <w:iCs/>
          <w:sz w:val="20"/>
          <w:szCs w:val="20"/>
        </w:rPr>
        <w:t xml:space="preserve">A. Overview</w:t>
      </w:r>
    </w:p>
    <w:p>
      <w:pPr>
        <w:spacing w:after="100" w:before="0" w:line="248"/>
        <w:jc w:val="both"/>
      </w:pPr>
      <w:r>
        <w:rPr>
          <w:rFonts w:ascii="Times New Roman" w:cs="Times New Roman" w:eastAsia="Times New Roman" w:hAnsi="Times New Roman"/>
          <w:sz w:val="19"/>
          <w:szCs w:val="19"/>
        </w:rPr>
        <w:t xml:space="preserve">Ssense has four independently deployable parts: a Manifest V3 browser extension that holds no model weights and no raw policy text; an inference server; an offline training pipeline; and an enforcement layer inside the extension. The extension sends the server only a domain name and a policy URL, and the server returns a compact JSON report. Fig. 1 shows the data flow and Fig. 2 the training pipeline.</w:t>
      </w:r>
    </w:p>
    <w:p>
      <w:pPr>
        <w:keepNext/>
        <w:spacing w:after="50" w:before="100"/>
        <w:jc w:val="center"/>
      </w:pPr>
      <w:r>
        <w:drawing>
          <wp:inline distT="0" distB="0" distL="0" distR="0">
            <wp:extent cx="3752850" cy="2381250"/>
            <wp:effectExtent t="0" r="0" b="0" l="0"/>
            <wp:docPr id="1" name="f1_arch" descr="Overall architecture of Ssense (schematic drawing; to be replaced by the final diagram)." title="Overall architecture of Ssense (schematic drawing; to be replaced by the final diagram)."/>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3752850" cy="2381250"/>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1. </w:t>
      </w:r>
      <w:r>
        <w:rPr>
          <w:rFonts w:ascii="Times New Roman" w:cs="Times New Roman" w:eastAsia="Times New Roman" w:hAnsi="Times New Roman"/>
          <w:sz w:val="18"/>
          <w:szCs w:val="18"/>
        </w:rPr>
        <w:t xml:space="preserve">Overall architecture of Ssense (schematic drawing; to be replaced by the final diagram).</w:t>
      </w:r>
    </w:p>
    <w:p>
      <w:pPr>
        <w:pStyle w:val="Heading2"/>
        <w:keepNext/>
        <w:spacing w:after="80" w:before="160"/>
      </w:pPr>
      <w:r>
        <w:rPr>
          <w:rFonts w:ascii="Times New Roman" w:cs="Times New Roman" w:eastAsia="Times New Roman" w:hAnsi="Times New Roman"/>
          <w:i/>
          <w:iCs/>
          <w:sz w:val="20"/>
          <w:szCs w:val="20"/>
        </w:rPr>
        <w:t xml:space="preserve">B. Statutory corpus and hybrid retrieval</w:t>
      </w:r>
    </w:p>
    <w:p>
      <w:pPr>
        <w:spacing w:after="100" w:before="0" w:line="248"/>
        <w:jc w:val="both"/>
      </w:pPr>
      <w:r>
        <w:rPr>
          <w:rFonts w:ascii="Times New Roman" w:cs="Times New Roman" w:eastAsia="Times New Roman" w:hAnsi="Times New Roman"/>
          <w:sz w:val="19"/>
          <w:szCs w:val="19"/>
        </w:rPr>
        <w:t xml:space="preserve">The corpus contains the 44 sections of the Act and the accompanying Rules, with cross-references between provisions mapped by hand. It is split at structural headers into 237 chunks, and each sub-chunk keeps its parent header so that a retrieved fragment still names the section it belongs to. Two indices are built. A BM25 index serves exact statutory wording and section numbers. A dense index of </w:t>
      </w:r>
      <w:r>
        <w:rPr>
          <w:rFonts w:ascii="Courier New" w:cs="Courier New" w:eastAsia="Courier New" w:hAnsi="Courier New"/>
          <w:sz w:val="17"/>
          <w:szCs w:val="17"/>
        </w:rPr>
        <w:t xml:space="preserve">BAAI/bge-large-en-v1.5</w:t>
      </w:r>
      <w:r>
        <w:rPr>
          <w:rFonts w:ascii="Times New Roman" w:cs="Times New Roman" w:eastAsia="Times New Roman" w:hAnsi="Times New Roman"/>
          <w:sz w:val="19"/>
          <w:szCs w:val="19"/>
        </w:rPr>
        <w:t xml:space="preserve"> embeddings</w:t>
      </w:r>
      <w:r>
        <w:rPr>
          <w:rStyle w:val="FootnoteReference"/>
        </w:rPr>
        <w:footnoteReference w:id="6"/>
      </w:r>
      <w:r>
        <w:rPr>
          <w:rFonts w:ascii="Times New Roman" w:cs="Times New Roman" w:eastAsia="Times New Roman" w:hAnsi="Times New Roman"/>
          <w:sz w:val="19"/>
          <w:szCs w:val="19"/>
        </w:rPr>
        <w:t xml:space="preserve"> serves paraphrase, so that “withdrawing permission easily” can retrieve the text on withdrawal of consent. For a query q and chunk c the hybrid score is a convex combination of max-normalised scores: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066925" cy="342900"/>
                  <wp:effectExtent t="0" r="0" b="0" l="0"/>
                  <wp:docPr id="1" name="e_hyb" descr="e_hyb" title="e_hyb"/>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2066925" cy="3429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(3)</w:t>
            </w:r>
          </w:p>
        </w:tc>
      </w:tr>
    </w:tbl>
    <w:p>
      <w:pPr>
        <w:spacing w:after="40"/>
      </w:pPr>
    </w:p>
    <w:p>
      <w:pPr>
        <w:spacing w:after="100" w:before="0" w:line="248"/>
        <w:jc w:val="both"/>
      </w:pPr>
      <w:r>
        <w:rPr>
          <w:rFonts w:ascii="Times New Roman" w:cs="Times New Roman" w:eastAsia="Times New Roman" w:hAnsi="Times New Roman"/>
          <w:sz w:val="19"/>
          <w:szCs w:val="19"/>
        </w:rPr>
        <w:t xml:space="preserve">The top K candidates are then re-scored jointly with a cross-encoder (</w:t>
      </w:r>
      <w:r>
        <w:rPr>
          <w:rFonts w:ascii="Courier New" w:cs="Courier New" w:eastAsia="Courier New" w:hAnsi="Courier New"/>
          <w:sz w:val="17"/>
          <w:szCs w:val="17"/>
        </w:rPr>
        <w:t xml:space="preserve">bge-reranker-v2-m3</w:t>
      </w:r>
      <w:r>
        <w:rPr>
          <w:rStyle w:val="FootnoteReference"/>
        </w:rPr>
        <w:footnoteReference w:id="7"/>
      </w:r>
      <w:r>
        <w:rPr>
          <w:rFonts w:ascii="Times New Roman" w:cs="Times New Roman" w:eastAsia="Times New Roman" w:hAnsi="Times New Roman"/>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066925" cy="200025"/>
                  <wp:effectExtent t="0" r="0" b="0" l="0"/>
                  <wp:docPr id="1" name="e_ce" descr="e_ce" title="e_c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2066925"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(4)</w:t>
            </w:r>
          </w:p>
        </w:tc>
      </w:tr>
    </w:tbl>
    <w:p>
      <w:pPr>
        <w:spacing w:after="40"/>
      </w:pPr>
    </w:p>
    <w:p>
      <w:pPr>
        <w:spacing w:after="100" w:before="0" w:line="248"/>
        <w:jc w:val="both"/>
      </w:pPr>
      <w:r>
        <w:rPr>
          <w:rFonts w:ascii="Times New Roman" w:cs="Times New Roman" w:eastAsia="Times New Roman" w:hAnsi="Times New Roman"/>
          <w:sz w:val="19"/>
          <w:szCs w:val="19"/>
        </w:rPr>
        <w:t>Selection of the top K uses an O(N) partial sort rather than a full sort, and a bounded 2,048-entry LRU cache holds query embeddings so repeated queries are not re-encoded. Dense retrieval can improve on BM25 for open-domain questions [16], and late-interaction models such as ColBERT [29] trade index size for finer matching; we keep a single-vector index and add a cross-encoder instead. We use a convex combination, not reciprocal rank fusion, because score magnitudes carry information about exact section hits that rank-only fusion discards; we have not compared the two empirically. The retrieval design follows the retrieval-augmented generation paradigm [15]. The weighting factor alpha was set to 0.45 in the project notes.</w:t>
      </w:r>
    </w:p>
    <w:p>
      <w:pPr>
        <w:pStyle w:val="Heading2"/>
        <w:keepNext/>
        <w:spacing w:after="80" w:before="160"/>
      </w:pPr>
      <w:r>
        <w:rPr>
          <w:rFonts w:ascii="Times New Roman" w:cs="Times New Roman" w:eastAsia="Times New Roman" w:hAnsi="Times New Roman"/>
          <w:i/>
          <w:iCs/>
          <w:sz w:val="20"/>
          <w:szCs w:val="20"/>
        </w:rPr>
        <w:t xml:space="preserve">C. Synthetic data, training and alignment</w:t>
      </w:r>
    </w:p>
    <w:p>
      <w:pPr>
        <w:spacing w:after="100" w:before="0" w:line="248"/>
        <w:jc w:val="both"/>
      </w:pPr>
      <w:r>
        <w:rPr>
          <w:rFonts w:ascii="Times New Roman" w:cs="Times New Roman" w:eastAsia="Times New Roman" w:hAnsi="Times New Roman"/>
          <w:sz w:val="19"/>
          <w:szCs w:val="19"/>
        </w:rPr>
        <w:t>No labelled corpus of DPDP policy audits exists, so training pairs are synthesised with a generate, filter and retry loop that follows the self-instruction pattern [22]. A Qwen2-72B-Instruct teacher (FP8 weights) receives a real policy excerpt and the retrieved statutory context and writes an audit that conforms to the schema, with a few worked examples in the prompt to fix the format. A recent study of legal question answering uses a frozen teacher together with retrieval of the governing document for the same purpose [24].</w:t>
      </w:r>
    </w:p>
    <w:p>
      <w:pPr>
        <w:spacing w:after="100" w:before="0" w:line="248"/>
        <w:jc w:val="both"/>
      </w:pPr>
      <w:r>
        <w:rPr>
          <w:rFonts w:ascii="Times New Roman" w:cs="Times New Roman" w:eastAsia="Times New Roman" w:hAnsi="Times New Roman"/>
          <w:sz w:val="19"/>
          <w:szCs w:val="19"/>
        </w:rPr>
        <w:t>A rule-based filter then discards any sample that fails schema validation, sets the omission flag, or cites a section absent from the statute. A rejected sample is regenerated within a small retry budget. We call this stage the Data Forge. The project documentation also refers to it as a generative-adversarial forge, but the filter is a fixed rule set and not a discriminator trained jointly with the generator, so the stage is synthetic-data curation and not adversarial training. Its practical risks are therefore label error, repetition and distribution drift [23]. Real policy excerpts stay in the mix for that reason, because training only on model-generated text can erase the tails of a data distribution [27].</w:t>
      </w:r>
    </w:p>
    <w:p>
      <w:pPr>
        <w:spacing w:after="100" w:before="0" w:line="248"/>
        <w:jc w:val="both"/>
      </w:pPr>
      <w:r>
        <w:rPr>
          <w:rFonts w:ascii="Times New Roman" w:cs="Times New Roman" w:eastAsia="Times New Roman" w:hAnsi="Times New Roman"/>
          <w:sz w:val="19"/>
          <w:szCs w:val="19"/>
        </w:rPr>
        <w:t>For preference learning, a second pass inserts subtle weaknesses (for example a hidden retention period or vague grievance wording) into otherwise compliant policy text. Audits that over-call, under-call or fabricate on such text become the rejected member of a pair, and the filtered audits become the chosen member. Records are written in ChatML with the loss restricted to the assistant turn. A MinHash 7-gram similarity check using locality-sensitive hashing confirms zero overlap between the training and evaluation splits before any certification run. Rubric-based LLM judges [25], [26] could add a further quality signal, but their agreement with human raters is task-dependent and they may favour model-written text [25], so they would complement and not replace the rule checks and expert review. Fig. 2 summarises the pipeline.</w:t>
      </w:r>
    </w:p>
    <w:p>
      <w:pPr>
        <w:keepNext/>
        <w:spacing w:after="50" w:before="100"/>
        <w:jc w:val="center"/>
      </w:pPr>
      <w:r>
        <w:drawing>
          <wp:inline distT="0" distB="0" distL="0" distR="0">
            <wp:extent cx="4200525" cy="1771650"/>
            <wp:effectExtent t="0" r="0" b="0" l="0"/>
            <wp:docPr id="1" name="f2_train" descr="Training and alignment pipeline: data forge, SFT, SimPO and export." title="Training and alignment pipeline: data forge, SFT, SimPO and expor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4200525" cy="1771650"/>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2. </w:t>
      </w:r>
      <w:r>
        <w:rPr>
          <w:rFonts w:ascii="Times New Roman" w:cs="Times New Roman" w:eastAsia="Times New Roman" w:hAnsi="Times New Roman"/>
          <w:sz w:val="18"/>
          <w:szCs w:val="18"/>
        </w:rPr>
        <w:t xml:space="preserve">Training and alignment pipeline: data forge, SFT, SimPO and export.</w:t>
      </w:r>
    </w:p>
    <w:p>
      <w:pPr>
        <w:spacing w:after="100" w:before="0" w:line="248"/>
        <w:jc w:val="both"/>
      </w:pPr>
      <w:r>
        <w:rPr>
          <w:rFonts w:ascii="Times New Roman" w:cs="Times New Roman" w:eastAsia="Times New Roman" w:hAnsi="Times New Roman"/>
          <w:sz w:val="19"/>
          <w:szCs w:val="19"/>
        </w:rPr>
        <w:t>Two LoRA adapters [11] share the base weights and are hot-swapped at serving time (Table IX). Both use rank-stabilised scaling (Kalajdzievski, arXiv:2312.03732), in which the update is scaled by alpha divided by the square root of the rank: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752475" cy="276225"/>
                  <wp:effectExtent t="0" r="0" b="0" l="0"/>
                  <wp:docPr id="1" name="e_rs" descr="e_rs" title="e_r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752475" cy="2762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(5)</w:t>
            </w:r>
          </w:p>
        </w:tc>
      </w:tr>
    </w:tbl>
    <w:p>
      <w:pPr>
        <w:spacing w:after="40"/>
      </w:pPr>
    </w:p>
    <w:p>
      <w:pPr>
        <w:spacing w:after="100" w:before="0" w:line="248"/>
        <w:jc w:val="both"/>
      </w:pPr>
      <w:r>
        <w:rPr>
          <w:rFonts w:ascii="Times New Roman" w:cs="Times New Roman" w:eastAsia="Times New Roman" w:hAnsi="Times New Roman"/>
          <w:sz w:val="19"/>
          <w:szCs w:val="19"/>
        </w:rPr>
        <w:t>With alpha 32 and rank 128 the effective scale is about 2.83 for the auditor, and with alpha 16 and rank 64 it is 2.0 for the chatbot. Conventional scaling would give 0.25 for both, which damps learning at high rank (Kalajdzievski, 2023).</w:t>
      </w:r>
    </w:p>
    <w:p>
      <w:pPr>
        <w:keepNext/>
        <w:spacing w:after="70" w:before="140"/>
        <w:jc w:val="center"/>
      </w:pPr>
      <w:r>
        <w:rPr>
          <w:rFonts w:ascii="Times New Roman" w:cs="Times New Roman" w:eastAsia="Times New Roman" w:hAnsi="Times New Roman"/>
          <w:smallCaps/>
          <w:sz w:val="17"/>
          <w:szCs w:val="17"/>
        </w:rPr>
        <w:t xml:space="preserve">TABLE IX: </w:t>
      </w:r>
      <w:r>
        <w:rPr>
          <w:rFonts w:ascii="Times New Roman" w:cs="Times New Roman" w:eastAsia="Times New Roman" w:hAnsi="Times New Roman"/>
          <w:sz w:val="16"/>
          <w:szCs w:val="16"/>
        </w:rPr>
        <w:br/>
        <w:t xml:space="preserve">ADAPTER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5"/>
        <w:gridCol w:w="3517"/>
        <w:gridCol w:w="3516"/>
      </w:tblGrid>
      <w:tr>
        <w:trPr>
          <w:cantSplit/>
          <w:tblHeader/>
        </w:trPr>
        <w:tc>
          <w:tcPr>
            <w:tcW w:type="dxa" w:w="2605"/>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Property</w:t>
            </w:r>
          </w:p>
        </w:tc>
        <w:tc>
          <w:tcPr>
            <w:tcW w:type="dxa" w:w="351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Forensic auditor</w:t>
            </w:r>
          </w:p>
        </w:tc>
        <w:tc>
          <w:tcPr>
            <w:tcW w:type="dxa" w:w="351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Conversational chatbot</w:t>
            </w:r>
          </w:p>
        </w:tc>
      </w:tr>
      <w:tr>
        <w:trPr>
          <w:cantSplit/>
          <w:tblHeader w:val="false"/>
        </w:trPr>
        <w:tc>
          <w:tcPr>
            <w:tcW w:type="dxa" w:w="26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Task</w:t>
            </w:r>
          </w:p>
        </w:tc>
        <w:tc>
          <w:tcPr>
            <w:tcW w:type="dxa" w:w="35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Policy audit to validated JSON</w:t>
            </w:r>
          </w:p>
        </w:tc>
        <w:tc>
          <w:tcPr>
            <w:tcW w:type="dxa" w:w="351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Citizen guidance and rights dialogue</w:t>
            </w:r>
          </w:p>
        </w:tc>
      </w:tr>
      <w:tr>
        <w:trPr>
          <w:cantSplit/>
          <w:tblHeader w:val="false"/>
        </w:trPr>
        <w:tc>
          <w:tcPr>
            <w:tcW w:type="dxa" w:w="26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Context window</w:t>
            </w:r>
          </w:p>
        </w:tc>
        <w:tc>
          <w:tcPr>
            <w:tcW w:type="dxa" w:w="35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8,192 tokens</w:t>
            </w:r>
          </w:p>
        </w:tc>
        <w:tc>
          <w:tcPr>
            <w:tcW w:type="dxa" w:w="351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4,096 tokens</w:t>
            </w:r>
          </w:p>
        </w:tc>
      </w:tr>
      <w:tr>
        <w:trPr>
          <w:cantSplit/>
          <w:tblHeader w:val="false"/>
        </w:trPr>
        <w:tc>
          <w:tcPr>
            <w:tcW w:type="dxa" w:w="26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Output format</w:t>
            </w:r>
          </w:p>
        </w:tc>
        <w:tc>
          <w:tcPr>
            <w:tcW w:type="dxa" w:w="35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dpdp_schema.json</w:t>
            </w:r>
          </w:p>
        </w:tc>
        <w:tc>
          <w:tcPr>
            <w:tcW w:type="dxa" w:w="351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Markdown</w:t>
            </w:r>
          </w:p>
        </w:tc>
      </w:tr>
      <w:tr>
        <w:trPr>
          <w:cantSplit/>
          <w:tblHeader w:val="false"/>
        </w:trPr>
        <w:tc>
          <w:tcPr>
            <w:tcW w:type="dxa" w:w="26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LoRA rank / alpha</w:t>
            </w:r>
          </w:p>
        </w:tc>
        <w:tc>
          <w:tcPr>
            <w:tcW w:type="dxa" w:w="35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128 / 32</w:t>
            </w:r>
          </w:p>
        </w:tc>
        <w:tc>
          <w:tcPr>
            <w:tcW w:type="dxa" w:w="351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64 / 16</w:t>
            </w:r>
          </w:p>
        </w:tc>
      </w:tr>
      <w:tr>
        <w:trPr>
          <w:cantSplit/>
          <w:tblHeader w:val="false"/>
        </w:trPr>
        <w:tc>
          <w:tcPr>
            <w:tcW w:type="dxa" w:w="26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Target modules</w:t>
            </w:r>
          </w:p>
        </w:tc>
        <w:tc>
          <w:tcPr>
            <w:tcW w:type="dxa" w:w="35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All linear projections</w:t>
            </w:r>
          </w:p>
        </w:tc>
        <w:tc>
          <w:tcPr>
            <w:tcW w:type="dxa" w:w="351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All linear projections</w:t>
            </w:r>
          </w:p>
        </w:tc>
      </w:tr>
      <w:tr>
        <w:trPr>
          <w:cantSplit/>
          <w:tblHeader w:val="false"/>
        </w:trPr>
        <w:tc>
          <w:tcPr>
            <w:tcW w:type="dxa" w:w="260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SimPO beta</w:t>
            </w:r>
          </w:p>
        </w:tc>
        <w:tc>
          <w:tcPr>
            <w:tcW w:type="dxa" w:w="351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2.0 (strict, schema-bound)</w:t>
            </w:r>
          </w:p>
        </w:tc>
        <w:tc>
          <w:tcPr>
            <w:tcW w:type="dxa" w:w="351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1.0 (fluency preserved)</w:t>
            </w:r>
          </w:p>
        </w:tc>
      </w:tr>
      <w:tr>
        <w:trPr>
          <w:cantSplit/>
          <w:tblHeader w:val="false"/>
        </w:trPr>
        <w:tc>
          <w:tcPr>
            <w:tcW w:type="dxa" w:w="2605"/>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Artifact</w:t>
            </w:r>
          </w:p>
        </w:tc>
        <w:tc>
          <w:tcPr>
            <w:tcW w:type="dxa" w:w="351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audit-model-final-adapter</w:t>
            </w:r>
          </w:p>
        </w:tc>
        <w:tc>
          <w:tcPr>
            <w:tcW w:type="dxa" w:w="351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chatbot-model-final-adapter</w:t>
            </w:r>
          </w:p>
        </w:tc>
      </w:tr>
    </w:tbl>
    <w:p>
      <w:pPr>
        <w:spacing w:after="100"/>
      </w:pPr>
    </w:p>
    <w:p>
      <w:pPr>
        <w:spacing w:after="100" w:before="0" w:line="248"/>
        <w:jc w:val="both"/>
      </w:pPr>
      <w:r>
        <w:rPr>
          <w:rFonts w:ascii="Times New Roman" w:cs="Times New Roman" w:eastAsia="Times New Roman" w:hAnsi="Times New Roman"/>
          <w:b/>
          <w:bCs/>
          <w:sz w:val="19"/>
          <w:szCs w:val="19"/>
        </w:rPr>
        <w:t xml:space="preserve">Phase 1: supervised fine-tuning.</w:t>
      </w:r>
      <w:r>
        <w:rPr>
          <w:rFonts w:ascii="Times New Roman" w:cs="Times New Roman" w:eastAsia="Times New Roman" w:hAnsi="Times New Roman"/>
          <w:sz w:val="19"/>
          <w:szCs w:val="19"/>
        </w:rPr>
        <w:t xml:space="preserve"> Training uses FP32 AdamW over BF16 base weights, causal language modelling on response-masked sequences, and a split balanced across statutory sections so that frequent provisions such as Section 6 do not dominate. The Unsloth framework</w:t>
      </w:r>
      <w:r>
        <w:rPr>
          <w:rStyle w:val="FootnoteReference"/>
        </w:rPr>
        <w:footnoteReference w:id="8"/>
      </w:r>
      <w:r>
        <w:rPr>
          <w:rFonts w:ascii="Times New Roman" w:cs="Times New Roman" w:eastAsia="Times New Roman" w:hAnsi="Times New Roman"/>
          <w:sz w:val="19"/>
          <w:szCs w:val="19"/>
        </w:rPr>
        <w:t xml:space="preserve"> (version 2026.8) supplies fused kernels, and the 4-bit memory techniques follow QLoRA. Training ran on an NVIDIA DGX Spark (Grace–Blackwell GB10, CUDA 13.0, PyTorch 2.11.0, BF16). The teacher model is fully unloaded and CUDA memory cleared before student training begins, which avoids fragmentation between phases.</w:t>
      </w:r>
    </w:p>
    <w:p>
      <w:pPr>
        <w:spacing w:after="100" w:before="0" w:line="248"/>
        <w:jc w:val="both"/>
      </w:pPr>
      <w:r>
        <w:rPr>
          <w:rFonts w:ascii="Times New Roman" w:cs="Times New Roman" w:eastAsia="Times New Roman" w:hAnsi="Times New Roman"/>
          <w:b/>
          <w:bCs/>
          <w:sz w:val="19"/>
          <w:szCs w:val="19"/>
        </w:rPr>
        <w:t xml:space="preserve">Phase 2: SimPO.</w:t>
      </w:r>
      <w:r>
        <w:rPr>
          <w:rFonts w:ascii="Times New Roman" w:cs="Times New Roman" w:eastAsia="Times New Roman" w:hAnsi="Times New Roman"/>
          <w:sz w:val="19"/>
          <w:szCs w:val="19"/>
        </w:rPr>
        <w:t xml:space="preserve"> Alignment uses SimPO [12], which scores a response by its length-normalised log-likelihood under the policy and so needs no frozen reference model: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990850" cy="285750"/>
                  <wp:effectExtent t="0" r="0" b="0" l="0"/>
                  <wp:docPr id="1" name="e_simpo" descr="e_simpo" title="e_simpo"/>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2990850" cy="2857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(6)</w:t>
            </w:r>
          </w:p>
        </w:tc>
      </w:tr>
    </w:tbl>
    <w:p>
      <w:pPr>
        <w:spacing w:after="40"/>
      </w:pPr>
    </w:p>
    <w:p>
      <w:pPr>
        <w:spacing w:after="100" w:before="0" w:line="248"/>
        <w:jc w:val="both"/>
      </w:pPr>
      <w:r>
        <w:rPr>
          <w:rFonts w:ascii="Times New Roman" w:cs="Times New Roman" w:eastAsia="Times New Roman" w:hAnsi="Times New Roman"/>
          <w:sz w:val="19"/>
          <w:szCs w:val="19"/>
        </w:rPr>
        <w:t xml:space="preserve">Here y_w is the chosen and y_l the rejected response, beta scales the reward and gamma is the target margin. Reference-based methods such as DPO [13] and contrastive preference optimisation [14] are the natural baselines for this stage. Work on factuality-aware alignment [28] warns that preference training can reward longer, more confident answers even when they contain false statements, which is why our rejected samples are fabricated and over-called audits and not merely differently styled ones. A larger beta for the auditor (2.0) sharpens the preference for schema-valid, grounded audits, while the chatbot uses 1.0 to preserve fluency. Both adapters are exported as safetensors for vLLM, as GGUF Q4_K_M for edge devices (executed with </w:t>
      </w:r>
      <w:r>
        <w:rPr>
          <w:rFonts w:ascii="Courier New" w:cs="Courier New" w:eastAsia="Courier New" w:hAnsi="Courier New"/>
          <w:sz w:val="17"/>
          <w:szCs w:val="17"/>
        </w:rPr>
        <w:t xml:space="preserve">llama.cpp</w:t>
      </w:r>
      <w:r>
        <w:rPr>
          <w:rStyle w:val="FootnoteReference"/>
        </w:rPr>
        <w:footnoteReference w:id="5"/>
      </w:r>
      <w:r>
        <w:rPr>
          <w:rFonts w:ascii="Times New Roman" w:cs="Times New Roman" w:eastAsia="Times New Roman" w:hAnsi="Times New Roman"/>
          <w:sz w:val="19"/>
          <w:szCs w:val="19"/>
        </w:rPr>
        <w:t xml:space="preserve">), and merged into BF16 weights.</w:t>
      </w:r>
    </w:p>
    <w:p>
      <w:pPr>
        <w:pStyle w:val="Heading2"/>
        <w:keepNext/>
        <w:spacing w:after="80" w:before="160"/>
      </w:pPr>
      <w:r>
        <w:rPr>
          <w:rFonts w:ascii="Times New Roman" w:cs="Times New Roman" w:eastAsia="Times New Roman" w:hAnsi="Times New Roman"/>
          <w:i/>
          <w:iCs/>
          <w:sz w:val="20"/>
          <w:szCs w:val="20"/>
        </w:rPr>
        <w:t xml:space="preserve">D. Output contract, omission firewall and Statutory Compliance Layer</w:t>
      </w:r>
    </w:p>
    <w:p>
      <w:pPr>
        <w:spacing w:after="100" w:before="0" w:line="248"/>
        <w:jc w:val="both"/>
      </w:pPr>
      <w:r>
        <w:rPr>
          <w:rFonts w:ascii="Times New Roman" w:cs="Times New Roman" w:eastAsia="Times New Roman" w:hAnsi="Times New Roman"/>
          <w:sz w:val="19"/>
          <w:szCs w:val="19"/>
        </w:rPr>
        <w:t xml:space="preserve">The auditor's output must satisfy a fixed JSON schema with four top-level fields: a legal-reasoning narrative, a list of violations, a trust score and a subtlety score. Every violation passes through three ordered steps. Step 1 checks that the finding rests on an affirmative claim in the text. Step 2 maps the quoted evidence to a statute provision. Step 3 explains why the claim breaches that provision. A binary </w:t>
      </w:r>
      <w:r>
        <w:rPr>
          <w:rFonts w:ascii="Courier New" w:cs="Courier New" w:eastAsia="Courier New" w:hAnsi="Courier New"/>
          <w:sz w:val="17"/>
          <w:szCs w:val="17"/>
        </w:rPr>
        <w:t xml:space="preserve">omission_check</w:t>
      </w:r>
      <w:r>
        <w:rPr>
          <w:rFonts w:ascii="Times New Roman" w:cs="Times New Roman" w:eastAsia="Times New Roman" w:hAnsi="Times New Roman"/>
          <w:sz w:val="19"/>
          <w:szCs w:val="19"/>
        </w:rPr>
        <w:t xml:space="preserve"> field is set when the finding derives from silence, and any finding with the flag set is removed before the report leaves the server (Fig. 3). Decoding is additionally restricted by a grammar so that the model can only emit syntactically valid JSON. A post-processor then clamps scores to the range 0 to 100, drops violation types outside the 26-type enumeration, and drops findings whose evidence quote is shorter than 20 characters.</w:t>
      </w:r>
    </w:p>
    <w:p>
      <w:pPr>
        <w:keepNext/>
        <w:spacing w:after="50" w:before="100"/>
        <w:jc w:val="center"/>
      </w:pPr>
      <w:r>
        <w:drawing>
          <wp:inline distT="0" distB="0" distL="0" distR="0">
            <wp:extent cx="3228975" cy="1971675"/>
            <wp:effectExtent t="0" r="0" b="0" l="0"/>
            <wp:docPr id="1" name="f4_firewall" descr="Three-step reasoning chain and the places where a candidate finding is dropped." title="Three-step reasoning chain and the places where a candidate finding is dropped."/>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3228975" cy="197167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3. </w:t>
      </w:r>
      <w:r>
        <w:rPr>
          <w:rFonts w:ascii="Times New Roman" w:cs="Times New Roman" w:eastAsia="Times New Roman" w:hAnsi="Times New Roman"/>
          <w:sz w:val="18"/>
          <w:szCs w:val="18"/>
        </w:rPr>
        <w:t xml:space="preserve">Three-step reasoning chain and the places where a candidate finding is dropped.</w:t>
      </w:r>
    </w:p>
    <w:p>
      <w:pPr>
        <w:spacing w:after="100" w:before="0" w:line="248"/>
        <w:jc w:val="both"/>
      </w:pPr>
      <w:r>
        <w:rPr>
          <w:rFonts w:ascii="Times New Roman" w:cs="Times New Roman" w:eastAsia="Times New Roman" w:hAnsi="Times New Roman"/>
          <w:sz w:val="19"/>
          <w:szCs w:val="19"/>
        </w:rPr>
        <w:t xml:space="preserve">A language model can miss a plainly stated violation because of negation errors or attention decay over a long policy. The Statutory Compliance Layer is a deterministic post-processor that holds, for each violation type v, a violation pattern R_v and a safe-harbour pattern H_v that legally excuses the matched behaviour (for example retention “unless required by law”). The final set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3409950" cy="200025"/>
                  <wp:effectExtent t="0" r="0" b="0" l="0"/>
                  <wp:docPr id="1" name="e_scl" descr="e_scl" title="e_sc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3409950"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(7)</w:t>
            </w:r>
          </w:p>
        </w:tc>
      </w:tr>
    </w:tbl>
    <w:p>
      <w:pPr>
        <w:spacing w:after="40"/>
      </w:pPr>
    </w:p>
    <w:p>
      <w:pPr>
        <w:spacing w:after="100" w:before="0" w:line="248"/>
        <w:jc w:val="both"/>
      </w:pPr>
      <w:r>
        <w:rPr>
          <w:rFonts w:ascii="Times New Roman" w:cs="Times New Roman" w:eastAsia="Times New Roman" w:hAnsi="Times New Roman"/>
          <w:sz w:val="19"/>
          <w:szCs w:val="19"/>
        </w:rPr>
        <w:t xml:space="preserve">so a regex hit can add a violation the model missed, but it cannot override the omission gate or the schema. We state plainly what the union does and does not provide. It adds recall for explicitly worded breaches, and the safe-harbour patterns limit the false positives that such additions could cause. It is not a formal guarantee of zero error, and its quality depends on the pattern sets, which are written by hand. The pilot in Section VIII measures its effect only indirectly, because we have not yet run the SCL-off ablation.</w:t>
      </w:r>
    </w:p>
    <w:p>
      <w:pPr>
        <w:pStyle w:val="Heading2"/>
        <w:keepNext/>
        <w:spacing w:after="80" w:before="160"/>
      </w:pPr>
      <w:r>
        <w:rPr>
          <w:rFonts w:ascii="Times New Roman" w:cs="Times New Roman" w:eastAsia="Times New Roman" w:hAnsi="Times New Roman"/>
          <w:i/>
          <w:iCs/>
          <w:sz w:val="20"/>
          <w:szCs w:val="20"/>
        </w:rPr>
        <w:t xml:space="preserve">E. Inference server and layered caching</w:t>
      </w:r>
    </w:p>
    <w:p>
      <w:pPr>
        <w:spacing w:after="100" w:before="0" w:line="248"/>
        <w:jc w:val="both"/>
      </w:pPr>
      <w:r>
        <w:rPr>
          <w:rFonts w:ascii="Times New Roman" w:cs="Times New Roman" w:eastAsia="Times New Roman" w:hAnsi="Times New Roman"/>
          <w:sz w:val="19"/>
          <w:szCs w:val="19"/>
        </w:rPr>
        <w:t xml:space="preserve">The server is a FastAPI application that probes the hardware at start-up and selects one of three profiles: </w:t>
      </w:r>
      <w:r>
        <w:rPr>
          <w:rFonts w:ascii="Courier New" w:cs="Courier New" w:eastAsia="Courier New" w:hAnsi="Courier New"/>
          <w:sz w:val="17"/>
          <w:szCs w:val="17"/>
        </w:rPr>
        <w:t xml:space="preserve">gpu</w:t>
      </w:r>
      <w:r>
        <w:rPr>
          <w:rFonts w:ascii="Times New Roman" w:cs="Times New Roman" w:eastAsia="Times New Roman" w:hAnsi="Times New Roman"/>
          <w:sz w:val="19"/>
          <w:szCs w:val="19"/>
        </w:rPr>
        <w:t xml:space="preserve"> (vLLM with continuous batching and PagedAttention</w:t>
      </w:r>
      <w:r>
        <w:rPr>
          <w:rStyle w:val="FootnoteReference"/>
        </w:rPr>
        <w:footnoteReference w:id="9"/>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jetson</w:t>
      </w:r>
      <w:r>
        <w:rPr>
          <w:rFonts w:ascii="Times New Roman" w:cs="Times New Roman" w:eastAsia="Times New Roman" w:hAnsi="Times New Roman"/>
          <w:sz w:val="19"/>
          <w:szCs w:val="19"/>
        </w:rPr>
        <w:t xml:space="preserve"> (vLLM tuned for unified memory) and </w:t>
      </w:r>
      <w:r>
        <w:rPr>
          <w:rFonts w:ascii="Courier New" w:cs="Courier New" w:eastAsia="Courier New" w:hAnsi="Courier New"/>
          <w:sz w:val="17"/>
          <w:szCs w:val="17"/>
        </w:rPr>
        <w:t xml:space="preserve">cpu</w:t>
      </w:r>
      <w:r>
        <w:rPr>
          <w:rFonts w:ascii="Times New Roman" w:cs="Times New Roman" w:eastAsia="Times New Roman" w:hAnsi="Times New Roman"/>
          <w:sz w:val="19"/>
          <w:szCs w:val="19"/>
        </w:rPr>
        <w:t xml:space="preserve"> (Transformers with PEFT). The GPU profile serves 8,192-token sequences with an FP8 KV cache on Hopper, Ada and Blackwell parts, prefix caching, chunked prefill, and two resident plus four CPU-resident LoRA slots with a maximum rank of 128. Every audit request passes through six lookups before any model is invoked (Fig. 4): an in-process LRU-TTL cache (512 entries, five-minute TTL); a SQLite audit store keyed by domain (90-day TTL); a SHA-256 policy-hash shortcut that reuses a stored audit whenever the policy text is unchanged; a server-side fetch and extraction; a re-check of the fresh hash against the stored hash; and SLM inference only if every earlier step misses.</w:t>
      </w:r>
    </w:p>
    <w:p>
      <w:pPr>
        <w:keepNext/>
        <w:spacing w:after="50" w:before="100"/>
        <w:jc w:val="center"/>
      </w:pPr>
      <w:r>
        <w:drawing>
          <wp:inline distT="0" distB="0" distL="0" distR="0">
            <wp:extent cx="4200525" cy="2152650"/>
            <wp:effectExtent t="0" r="0" b="0" l="0"/>
            <wp:docPr id="1" name="f3_flow" descr="Audit request path with cache short-circuits." title="Audit request path with cache short-circuit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4200525" cy="2152650"/>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4. </w:t>
      </w:r>
      <w:r>
        <w:rPr>
          <w:rFonts w:ascii="Times New Roman" w:cs="Times New Roman" w:eastAsia="Times New Roman" w:hAnsi="Times New Roman"/>
          <w:sz w:val="18"/>
          <w:szCs w:val="18"/>
        </w:rPr>
        <w:t xml:space="preserve">Audit request path with cache short-circuits.</w:t>
      </w:r>
    </w:p>
    <w:p>
      <w:pPr>
        <w:spacing w:after="100" w:before="0" w:line="248"/>
        <w:jc w:val="both"/>
      </w:pPr>
      <w:r>
        <w:rPr>
          <w:rFonts w:ascii="Times New Roman" w:cs="Times New Roman" w:eastAsia="Times New Roman" w:hAnsi="Times New Roman"/>
          <w:sz w:val="19"/>
          <w:szCs w:val="19"/>
        </w:rPr>
        <w:t xml:space="preserve">If h_k is the hit probability and t_k the cost of level k, the expected cost of a request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1990725" cy="400050"/>
                  <wp:effectExtent t="0" r="0" b="0" l="0"/>
                  <wp:docPr id="1" name="e_cache" descr="e_cache" title="e_cach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1990725" cy="4000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(8)</w:t>
            </w:r>
          </w:p>
        </w:tc>
      </w:tr>
    </w:tbl>
    <w:p>
      <w:pPr>
        <w:spacing w:after="40"/>
      </w:pPr>
    </w:p>
    <w:p>
      <w:pPr>
        <w:spacing w:after="100" w:before="0" w:line="248"/>
        <w:jc w:val="both"/>
      </w:pPr>
      <w:r>
        <w:rPr>
          <w:rFonts w:ascii="Times New Roman" w:cs="Times New Roman" w:eastAsia="Times New Roman" w:hAnsi="Times New Roman"/>
          <w:sz w:val="19"/>
          <w:szCs w:val="19"/>
        </w:rPr>
        <w:t xml:space="preserve">with the convention that a miss at level k pays the costs of the levels before it. We report no measured hit rates here, so this expression documents the design rather than a result. On the CPU profile, a logits processor stops generation the moment a complete JSON object closes, avoiding trailing tokens. An in-process orchestrator coalesces identical concurrent requests through a deterministic key,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3238500" cy="200025"/>
                  <wp:effectExtent t="0" r="0" b="0" l="0"/>
                  <wp:docPr id="1" name="e_key" descr="e_key" title="e_key"/>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1" cstate="none"/>
                          <a:srcRect/>
                          <a:stretch>
                            <a:fillRect/>
                          </a:stretch>
                        </pic:blipFill>
                        <pic:spPr bwMode="auto">
                          <a:xfrm>
                            <a:off x="0" y="0"/>
                            <a:ext cx="3238500" cy="2000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(9)</w:t>
            </w:r>
          </w:p>
        </w:tc>
      </w:tr>
    </w:tbl>
    <w:p>
      <w:pPr>
        <w:spacing w:after="40"/>
      </w:pPr>
    </w:p>
    <w:p>
      <w:pPr>
        <w:spacing w:after="100" w:before="0" w:line="248"/>
        <w:jc w:val="both"/>
      </w:pPr>
      <w:r>
        <w:rPr>
          <w:rFonts w:ascii="Times New Roman" w:cs="Times New Roman" w:eastAsia="Times New Roman" w:hAnsi="Times New Roman"/>
          <w:sz w:val="19"/>
          <w:szCs w:val="19"/>
        </w:rPr>
        <w:t xml:space="preserve">so duplicate tabs trigger one inference while different users never share state. Chat requests are rate limited to 60 per minute per key and address; audit endpoints are not, since cached results absorb repeated load.</w:t>
      </w:r>
    </w:p>
    <w:p>
      <w:pPr>
        <w:pStyle w:val="Heading2"/>
        <w:keepNext/>
        <w:spacing w:after="80" w:before="160"/>
      </w:pPr>
      <w:r>
        <w:rPr>
          <w:rFonts w:ascii="Times New Roman" w:cs="Times New Roman" w:eastAsia="Times New Roman" w:hAnsi="Times New Roman"/>
          <w:i/>
          <w:iCs/>
          <w:sz w:val="20"/>
          <w:szCs w:val="20"/>
        </w:rPr>
        <w:t xml:space="preserve">F. Layer partitioning on unified memory</w:t>
      </w:r>
    </w:p>
    <w:p>
      <w:pPr>
        <w:spacing w:after="100" w:before="0" w:line="248"/>
        <w:jc w:val="both"/>
      </w:pPr>
      <w:r>
        <w:rPr>
          <w:rFonts w:ascii="Times New Roman" w:cs="Times New Roman" w:eastAsia="Times New Roman" w:hAnsi="Times New Roman"/>
          <w:sz w:val="19"/>
          <w:szCs w:val="19"/>
        </w:rPr>
        <w:t xml:space="preserve">When a model does not fit wholly in GPU memory, the 28 Transformer layers are split between devices. Writing L_GPU for the resident layers, per-token latency is approximately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686050" cy="419100"/>
                  <wp:effectExtent t="0" r="0" b="0" l="0"/>
                  <wp:docPr id="1" name="e_lat" descr="e_lat" title="e_la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2" cstate="none"/>
                          <a:srcRect/>
                          <a:stretch>
                            <a:fillRect/>
                          </a:stretch>
                        </pic:blipFill>
                        <pic:spPr bwMode="auto">
                          <a:xfrm>
                            <a:off x="0" y="0"/>
                            <a:ext cx="2686050" cy="4191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(10)</w:t>
            </w:r>
          </w:p>
        </w:tc>
      </w:tr>
    </w:tbl>
    <w:p>
      <w:pPr>
        <w:spacing w:after="40"/>
      </w:pPr>
    </w:p>
    <w:p>
      <w:pPr>
        <w:spacing w:after="100" w:before="0" w:line="248"/>
        <w:jc w:val="both"/>
      </w:pPr>
      <w:r>
        <w:rPr>
          <w:rFonts w:ascii="Times New Roman" w:cs="Times New Roman" w:eastAsia="Times New Roman" w:hAnsi="Times New Roman"/>
          <w:sz w:val="19"/>
          <w:szCs w:val="19"/>
        </w:rPr>
        <w:t xml:space="preserve">and keeping each device's layers contiguous leaves a single boundary crossing per token, which minimises the transfer term. The consumer configuration we measured keeps 19 layers on the GPU and 9 on the CPU in native BF16. Section VIII-F reports its effect on generation speed.</w:t>
      </w:r>
    </w:p>
    <w:p>
      <w:pPr>
        <w:pStyle w:val="Heading2"/>
        <w:keepNext/>
        <w:spacing w:after="80" w:before="160"/>
      </w:pPr>
      <w:r>
        <w:rPr>
          <w:rFonts w:ascii="Times New Roman" w:cs="Times New Roman" w:eastAsia="Times New Roman" w:hAnsi="Times New Roman"/>
          <w:i/>
          <w:iCs/>
          <w:sz w:val="20"/>
          <w:szCs w:val="20"/>
        </w:rPr>
        <w:t xml:space="preserve">G. Policy extraction</w:t>
      </w:r>
    </w:p>
    <w:p>
      <w:pPr>
        <w:spacing w:after="100" w:before="0" w:line="248"/>
        <w:jc w:val="both"/>
      </w:pPr>
      <w:r>
        <w:rPr>
          <w:rFonts w:ascii="Times New Roman" w:cs="Times New Roman" w:eastAsia="Times New Roman" w:hAnsi="Times New Roman"/>
          <w:sz w:val="19"/>
          <w:szCs w:val="19"/>
        </w:rPr>
        <w:t xml:space="preserve">The extension never uploads page text. The server fetches the policy with an asynchronous HTTP client that follows at most six redirects, enforces an 8 MB response cap and a 20-second timeout, and refuses private, loopback, link-local and cloud-metadata addresses to prevent server-side request forgery. HTML is stripped of scripts, navigation, forms and consent-banner widgets. A priority list of container selectors, with a link-density fallback, isolates the policy body, lines dominated by non-Latin script are dropped, and the result is capped at 64,000 characters and hashed. For policies longer than the model window, sections are selected by statutory-keyword density. The raw text is discarded after inference; only the hash and the audit JSON are stored.</w:t>
      </w:r>
    </w:p>
    <w:p>
      <w:pPr>
        <w:pStyle w:val="Heading2"/>
        <w:keepNext/>
        <w:spacing w:after="80" w:before="160"/>
      </w:pPr>
      <w:r>
        <w:rPr>
          <w:rFonts w:ascii="Times New Roman" w:cs="Times New Roman" w:eastAsia="Times New Roman" w:hAnsi="Times New Roman"/>
          <w:i/>
          <w:iCs/>
          <w:sz w:val="20"/>
          <w:szCs w:val="20"/>
        </w:rPr>
        <w:t xml:space="preserve">H. Browser extension and enforcement</w:t>
      </w:r>
    </w:p>
    <w:p>
      <w:pPr>
        <w:spacing w:after="100" w:before="0" w:line="248"/>
        <w:jc w:val="both"/>
      </w:pPr>
      <w:r>
        <w:rPr>
          <w:rFonts w:ascii="Times New Roman" w:cs="Times New Roman" w:eastAsia="Times New Roman" w:hAnsi="Times New Roman"/>
          <w:sz w:val="19"/>
          <w:szCs w:val="19"/>
        </w:rPr>
        <w:t xml:space="preserve">The extension is written in React 18, TypeScript 5.5 and Vite 5 for Chrome's Manifest V3. A content script looks for the policy URL in five ordered ways: a </w:t>
      </w:r>
      <w:r>
        <w:rPr>
          <w:rFonts w:ascii="Courier New" w:cs="Courier New" w:eastAsia="Courier New" w:hAnsi="Courier New"/>
          <w:sz w:val="17"/>
          <w:szCs w:val="17"/>
        </w:rPr>
        <w:t xml:space="preserve">rel="privacy-policy"</w:t>
      </w:r>
      <w:r>
        <w:rPr>
          <w:rFonts w:ascii="Times New Roman" w:cs="Times New Roman" w:eastAsia="Times New Roman" w:hAnsi="Times New Roman"/>
          <w:sz w:val="19"/>
          <w:szCs w:val="19"/>
        </w:rPr>
        <w:t xml:space="preserve"> link element, Shopify-style </w:t>
      </w:r>
      <w:r>
        <w:rPr>
          <w:rFonts w:ascii="Courier New" w:cs="Courier New" w:eastAsia="Courier New" w:hAnsi="Courier New"/>
          <w:sz w:val="17"/>
          <w:szCs w:val="17"/>
        </w:rPr>
        <w:t xml:space="preserve">/policies/</w:t>
      </w:r>
      <w:r>
        <w:rPr>
          <w:rFonts w:ascii="Times New Roman" w:cs="Times New Roman" w:eastAsia="Times New Roman" w:hAnsi="Times New Roman"/>
          <w:sz w:val="19"/>
          <w:szCs w:val="19"/>
        </w:rPr>
        <w:t xml:space="preserve"> paths, known consent-platform class names, scored footer-link keywords, and data-protection attributes. A service worker coordinates audits under a concurrency semaphore, serves cached results stale-while-revalidate, relays token streams to the UI over a long-lived port, and colours the toolbar badge by trust score. Local state lives in IndexedDB (audit cache, history) and </w:t>
      </w:r>
      <w:r>
        <w:rPr>
          <w:rFonts w:ascii="Courier New" w:cs="Courier New" w:eastAsia="Courier New" w:hAnsi="Courier New"/>
          <w:sz w:val="17"/>
          <w:szCs w:val="17"/>
        </w:rPr>
        <w:t xml:space="preserve">chrome.storage.local</w:t>
      </w:r>
      <w:r>
        <w:rPr>
          <w:rFonts w:ascii="Times New Roman" w:cs="Times New Roman" w:eastAsia="Times New Roman" w:hAnsi="Times New Roman"/>
          <w:sz w:val="19"/>
          <w:szCs w:val="19"/>
        </w:rPr>
        <w:t xml:space="preserve"> (chat threads, preferences). The chat widget is attached in a closed Shadow DOM and talks only to the service worker, so credentials never enter the page's JavaScript realm. Fig. 5 maps each action to its browser mechanism, Table X describes the actions, and Fig. 6 shows where the extension surfaces them to the user.</w:t>
      </w:r>
    </w:p>
    <w:p>
      <w:pPr>
        <w:keepNext/>
        <w:spacing w:after="50" w:before="100"/>
        <w:jc w:val="center"/>
      </w:pPr>
      <w:r>
        <w:drawing>
          <wp:inline distT="0" distB="0" distL="0" distR="0">
            <wp:extent cx="4124325" cy="1952625"/>
            <wp:effectExtent t="0" r="0" b="0" l="0"/>
            <wp:docPr id="1" name="f5_enf" descr="From a confirmed violation to a browser-level action." title="From a confirmed violation to a browser-level ac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3" cstate="none"/>
                    <a:srcRect/>
                    <a:stretch>
                      <a:fillRect/>
                    </a:stretch>
                  </pic:blipFill>
                  <pic:spPr bwMode="auto">
                    <a:xfrm>
                      <a:off x="0" y="0"/>
                      <a:ext cx="4124325" cy="195262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5. </w:t>
      </w:r>
      <w:r>
        <w:rPr>
          <w:rFonts w:ascii="Times New Roman" w:cs="Times New Roman" w:eastAsia="Times New Roman" w:hAnsi="Times New Roman"/>
          <w:sz w:val="18"/>
          <w:szCs w:val="18"/>
        </w:rPr>
        <w:t xml:space="preserve">From a confirmed violation to a browser-level action.</w:t>
      </w:r>
    </w:p>
    <w:p>
      <w:pPr>
        <w:keepNext/>
        <w:spacing w:after="70" w:before="140"/>
        <w:jc w:val="center"/>
      </w:pPr>
      <w:r>
        <w:rPr>
          <w:rFonts w:ascii="Times New Roman" w:cs="Times New Roman" w:eastAsia="Times New Roman" w:hAnsi="Times New Roman"/>
          <w:smallCaps/>
          <w:sz w:val="17"/>
          <w:szCs w:val="17"/>
        </w:rPr>
        <w:t xml:space="preserve">TABLE X: </w:t>
      </w:r>
      <w:r>
        <w:rPr>
          <w:rFonts w:ascii="Times New Roman" w:cs="Times New Roman" w:eastAsia="Times New Roman" w:hAnsi="Times New Roman"/>
          <w:sz w:val="16"/>
          <w:szCs w:val="16"/>
        </w:rPr>
        <w:br/>
        <w:t xml:space="preserve">ENFORCEMENT ACTIONS AND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Action</w:t>
            </w:r>
          </w:p>
        </w:tc>
        <w:tc>
          <w:tcPr>
            <w:tcW w:type="dxa" w:w="706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Mechanism</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BLOCK_THIRD_PARTY</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Dynamic </w:t>
            </w:r>
            <w:r>
              <w:rPr>
                <w:rFonts w:ascii="Courier New" w:cs="Courier New" w:eastAsia="Courier New" w:hAnsi="Courier New"/>
                <w:b w:val="false"/>
                <w:bCs w:val="false"/>
                <w:sz w:val="15"/>
                <w:szCs w:val="15"/>
              </w:rPr>
              <w:t xml:space="preserve">declarativeNetRequest</w:t>
            </w:r>
            <w:r>
              <w:rPr>
                <w:rFonts w:ascii="Times New Roman" w:cs="Times New Roman" w:eastAsia="Times New Roman" w:hAnsi="Times New Roman"/>
                <w:b w:val="false"/>
                <w:bCs w:val="false"/>
                <w:sz w:val="17"/>
                <w:szCs w:val="17"/>
              </w:rPr>
              <w:t xml:space="preserve"> rules scoped to the audited origin and targeting the offending entities named in the finding.</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STRIP_TELEMETRY_HEADER</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modifyHeaders</w:t>
            </w:r>
            <w:r>
              <w:rPr>
                <w:rFonts w:ascii="Times New Roman" w:cs="Times New Roman" w:eastAsia="Times New Roman" w:hAnsi="Times New Roman"/>
                <w:b w:val="false"/>
                <w:bCs w:val="false"/>
                <w:sz w:val="17"/>
                <w:szCs w:val="17"/>
              </w:rPr>
              <w:t xml:space="preserve"> rules that remove the privacy-sensitive request headers identified in the evidence quote.</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SPOOF_HARDWARE_API</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Main-world overrides of </w:t>
            </w:r>
            <w:r>
              <w:rPr>
                <w:rFonts w:ascii="Courier New" w:cs="Courier New" w:eastAsia="Courier New" w:hAnsi="Courier New"/>
                <w:b w:val="false"/>
                <w:bCs w:val="false"/>
                <w:sz w:val="15"/>
                <w:szCs w:val="15"/>
              </w:rPr>
              <w:t xml:space="preserve">navigator.deviceMemory</w:t>
            </w:r>
            <w:r>
              <w:rPr>
                <w:rFonts w:ascii="Times New Roman" w:cs="Times New Roman" w:eastAsia="Times New Roman" w:hAnsi="Times New Roman"/>
                <w:b w:val="false"/>
                <w:bCs w:val="false"/>
                <w:sz w:val="17"/>
                <w:szCs w:val="17"/>
              </w:rPr>
              <w:t xml:space="preserve"> (random from 0.25 to 4 GB) and </w:t>
            </w:r>
            <w:r>
              <w:rPr>
                <w:rFonts w:ascii="Courier New" w:cs="Courier New" w:eastAsia="Courier New" w:hAnsi="Courier New"/>
                <w:b w:val="false"/>
                <w:bCs w:val="false"/>
                <w:sz w:val="15"/>
                <w:szCs w:val="15"/>
              </w:rPr>
              <w:t xml:space="preserve">hardwareConcurrency</w:t>
            </w:r>
            <w:r>
              <w:rPr>
                <w:rFonts w:ascii="Times New Roman" w:cs="Times New Roman" w:eastAsia="Times New Roman" w:hAnsi="Times New Roman"/>
                <w:b w:val="false"/>
                <w:bCs w:val="false"/>
                <w:sz w:val="17"/>
                <w:szCs w:val="17"/>
              </w:rPr>
              <w:t xml:space="preserve"> (random from 2 to 8), noise in canvas and audio readouts, using non-configurable property descriptors.</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INJECT_GPC_SIGNAL</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Sec-GPC: 1</w:t>
            </w:r>
            <w:r>
              <w:rPr>
                <w:rFonts w:ascii="Times New Roman" w:cs="Times New Roman" w:eastAsia="Times New Roman" w:hAnsi="Times New Roman"/>
                <w:b w:val="false"/>
                <w:bCs w:val="false"/>
                <w:sz w:val="17"/>
                <w:szCs w:val="17"/>
              </w:rPr>
              <w:t xml:space="preserve"> on requests and </w:t>
            </w:r>
            <w:r>
              <w:rPr>
                <w:rFonts w:ascii="Courier New" w:cs="Courier New" w:eastAsia="Courier New" w:hAnsi="Courier New"/>
                <w:b w:val="false"/>
                <w:bCs w:val="false"/>
                <w:sz w:val="15"/>
                <w:szCs w:val="15"/>
              </w:rPr>
              <w:t xml:space="preserve">navigator.globalPrivacyControl</w:t>
            </w:r>
            <w:r>
              <w:rPr>
                <w:rFonts w:ascii="Times New Roman" w:cs="Times New Roman" w:eastAsia="Times New Roman" w:hAnsi="Times New Roman"/>
                <w:b w:val="false"/>
                <w:bCs w:val="false"/>
                <w:sz w:val="17"/>
                <w:szCs w:val="17"/>
              </w:rPr>
              <w:t xml:space="preserve"> set to true, per the GPC specification</w:t>
            </w:r>
            <w:r>
              <w:rPr>
                <w:rStyle w:val="FootnoteReference"/>
              </w:rPr>
              <w:footnoteReference w:id="10"/>
            </w:r>
            <w:r>
              <w:rPr>
                <w:rFonts w:ascii="Times New Roman" w:cs="Times New Roman" w:eastAsia="Times New Roman" w:hAnsi="Times New Roman"/>
                <w:b w:val="false"/>
                <w:bCs w:val="false"/>
                <w:sz w:val="17"/>
                <w:szCs w:val="17"/>
              </w:rPr>
              <w:t xml:space="preserve">.</w:t>
            </w:r>
          </w:p>
        </w:tc>
      </w:tr>
      <w:tr>
        <w:trPr>
          <w:cantSplit/>
          <w:tblHeader w:val="false"/>
        </w:trPr>
        <w:tc>
          <w:tcPr>
            <w:tcW w:type="dxa" w:w="257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5"/>
                <w:szCs w:val="15"/>
              </w:rPr>
              <w:t xml:space="preserve">WARN_USER_ONLY</w:t>
            </w:r>
          </w:p>
        </w:tc>
        <w:tc>
          <w:tcPr>
            <w:tcW w:type="dxa" w:w="706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User notification only; no change to network behaviour.</w:t>
            </w:r>
          </w:p>
        </w:tc>
      </w:tr>
    </w:tbl>
    <w:p>
      <w:pPr>
        <w:spacing w:after="100"/>
      </w:pPr>
    </w:p>
    <w:p>
      <w:pPr>
        <w:spacing w:after="100" w:before="0" w:line="248"/>
        <w:jc w:val="both"/>
      </w:pPr>
      <w:r>
        <w:rPr>
          <w:rFonts w:ascii="Times New Roman" w:cs="Times New Roman" w:eastAsia="Times New Roman" w:hAnsi="Times New Roman"/>
          <w:sz w:val="19"/>
          <w:szCs w:val="19"/>
        </w:rPr>
        <w:t xml:space="preserve">A mutation observer also removes deceptive consent overlays from the DOM instead of only hiding them, so that event listeners attached to the overlay do not remain active; interface manipulation of this kind is documented in studies of consent banners. The user can inspect every active rule, the evidence quote and the cited section in the sidepanel, and can whitelist a site.</w:t>
      </w:r>
    </w:p>
    <w:p>
      <w:pPr>
        <w:pStyle w:val="Heading2"/>
        <w:keepNext/>
        <w:spacing w:after="80" w:before="160"/>
      </w:pPr>
      <w:r>
        <w:rPr>
          <w:rFonts w:ascii="Times New Roman" w:cs="Times New Roman" w:eastAsia="Times New Roman" w:hAnsi="Times New Roman"/>
          <w:i/>
          <w:iCs/>
          <w:sz w:val="20"/>
          <w:szCs w:val="20"/>
        </w:rPr>
        <w:t xml:space="preserve">I. Conversational co-pilot</w:t>
      </w:r>
    </w:p>
    <w:p>
      <w:pPr>
        <w:spacing w:after="100" w:before="0" w:line="248"/>
        <w:jc w:val="both"/>
      </w:pPr>
      <w:r>
        <w:rPr>
          <w:rFonts w:ascii="Times New Roman" w:cs="Times New Roman" w:eastAsia="Times New Roman" w:hAnsi="Times New Roman"/>
          <w:sz w:val="19"/>
          <w:szCs w:val="19"/>
        </w:rPr>
        <w:t xml:space="preserve">The chatbot adapter answers questions about a specific audited site. Each chat request reads a pre-computed natural-language summary of the audit from the audit store, which removes JSON parsing, translation and retrieval from the hot path, so latency is dominated by generation. Two response modes exist. In </w:t>
      </w:r>
      <w:r>
        <w:rPr>
          <w:rFonts w:ascii="Courier New" w:cs="Courier New" w:eastAsia="Courier New" w:hAnsi="Courier New"/>
          <w:sz w:val="17"/>
          <w:szCs w:val="17"/>
        </w:rPr>
        <w:t xml:space="preserve">concise</w:t>
      </w:r>
      <w:r>
        <w:rPr>
          <w:rFonts w:ascii="Times New Roman" w:cs="Times New Roman" w:eastAsia="Times New Roman" w:hAnsi="Times New Roman"/>
          <w:sz w:val="19"/>
          <w:szCs w:val="19"/>
        </w:rPr>
        <w:t xml:space="preserve"> mode the system prompt asks for two or three direct sentences under 45 words with a 60-token limit. In </w:t>
      </w:r>
      <w:r>
        <w:rPr>
          <w:rFonts w:ascii="Courier New" w:cs="Courier New" w:eastAsia="Courier New" w:hAnsi="Courier New"/>
          <w:sz w:val="17"/>
          <w:szCs w:val="17"/>
        </w:rPr>
        <w:t xml:space="preserve">thinking</w:t>
      </w:r>
      <w:r>
        <w:rPr>
          <w:rFonts w:ascii="Times New Roman" w:cs="Times New Roman" w:eastAsia="Times New Roman" w:hAnsi="Times New Roman"/>
          <w:sz w:val="19"/>
          <w:szCs w:val="19"/>
        </w:rPr>
        <w:t xml:space="preserve"> mode the model is asked to reason step by step through the relevant DPDP provisions with a 200-token limit. Tokens stream to the interface over server-sent events, and a per-domain queue serialises chat processing. The chatbot is trained as a separate adapter, with a certification axis that fails any reply containing raw audit JSON (schema bleed).</w:t>
      </w:r>
    </w:p>
    <w:p>
      <w:pPr>
        <w:pStyle w:val="Heading2"/>
        <w:keepNext/>
        <w:spacing w:after="80" w:before="160"/>
      </w:pPr>
      <w:r>
        <w:rPr>
          <w:rFonts w:ascii="Times New Roman" w:cs="Times New Roman" w:eastAsia="Times New Roman" w:hAnsi="Times New Roman"/>
          <w:i/>
          <w:iCs/>
          <w:sz w:val="20"/>
          <w:szCs w:val="20"/>
        </w:rPr>
        <w:t xml:space="preserve">J. Security, storage and synchronisation</w:t>
      </w:r>
    </w:p>
    <w:p>
      <w:pPr>
        <w:spacing w:after="100" w:before="0" w:line="248"/>
        <w:jc w:val="both"/>
      </w:pPr>
      <w:r>
        <w:rPr>
          <w:rFonts w:ascii="Times New Roman" w:cs="Times New Roman" w:eastAsia="Times New Roman" w:hAnsi="Times New Roman"/>
          <w:sz w:val="19"/>
          <w:szCs w:val="19"/>
        </w:rPr>
        <w:t>Table XI lists the attack surfaces we considered and the corresponding controls. Prompt-injection defence normalises input (NFKC), strips control characters, scans for injection patterns, and flags text whose character entropy reaches 5.5 bits or more, a heuristic for obfuscated payloads. Indirect injection through fetched or retrieved content is a documented attack on LLM-integrated applications [39], benchmarks show that instruction-following models differ widely in how well they ignore injected instructions [40], and preference-based training can lower injection success [41], so injection tests form part of the certification matrix (axis 12):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295525" cy="295275"/>
                  <wp:effectExtent t="0" r="0" b="0" l="0"/>
                  <wp:docPr id="1" name="e_ent" descr="e_ent" title="e_en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4" cstate="none"/>
                          <a:srcRect/>
                          <a:stretch>
                            <a:fillRect/>
                          </a:stretch>
                        </pic:blipFill>
                        <pic:spPr bwMode="auto">
                          <a:xfrm>
                            <a:off x="0" y="0"/>
                            <a:ext cx="2295525" cy="29527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(11)</w:t>
            </w:r>
          </w:p>
        </w:tc>
      </w:tr>
    </w:tbl>
    <w:p>
      <w:pPr>
        <w:spacing w:after="40"/>
      </w:pPr>
    </w:p>
    <w:p>
      <w:pPr>
        <w:keepNext/>
        <w:spacing w:after="70" w:before="140"/>
        <w:jc w:val="center"/>
      </w:pPr>
      <w:r>
        <w:rPr>
          <w:rFonts w:ascii="Times New Roman" w:cs="Times New Roman" w:eastAsia="Times New Roman" w:hAnsi="Times New Roman"/>
          <w:smallCaps/>
          <w:sz w:val="17"/>
          <w:szCs w:val="17"/>
        </w:rPr>
        <w:t xml:space="preserve">TABLE XI: </w:t>
      </w:r>
      <w:r>
        <w:rPr>
          <w:rFonts w:ascii="Times New Roman" w:cs="Times New Roman" w:eastAsia="Times New Roman" w:hAnsi="Times New Roman"/>
          <w:sz w:val="16"/>
          <w:szCs w:val="16"/>
        </w:rPr>
        <w:br/>
        <w:t xml:space="preserve">ATTACK SURFACES AND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Surface</w:t>
            </w:r>
          </w:p>
        </w:tc>
        <w:tc>
          <w:tcPr>
            <w:tcW w:type="dxa" w:w="706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Control</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Instructions hidden in policy text</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Unicode normalisation, control-character stripping, injection-pattern scan, entropy heuristic; model output limited to the schema.</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Server-side request forgery via policy URL</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Blocklist for private, loopback, link-local and metadata addresses; redirect and size limits.</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Request replay or forgery</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HMAC-SHA256 over method, path, timestamp and nonce; five-minute window; atomic nonce replay guard; constant-time comparison.</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Model extraction by repeated queries</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Heuristics for repetition and prompt-elicitation phrases; throttling; key invalidation.</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Malformed or hostile model output</w:t>
            </w:r>
          </w:p>
        </w:tc>
        <w:tc>
          <w:tcPr>
            <w:tcW w:type="dxa" w:w="706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Schema validation and repair; clamping; dropping of unknown types and short quotes.</w:t>
            </w:r>
          </w:p>
        </w:tc>
      </w:tr>
      <w:tr>
        <w:trPr>
          <w:cantSplit/>
          <w:tblHeader w:val="false"/>
        </w:trPr>
        <w:tc>
          <w:tcPr>
            <w:tcW w:type="dxa" w:w="257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Credential exposure in the page</w:t>
            </w:r>
          </w:p>
        </w:tc>
        <w:tc>
          <w:tcPr>
            <w:tcW w:type="dxa" w:w="706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Closed Shadow DOM; widget talks only to the service worker.</w:t>
            </w:r>
          </w:p>
        </w:tc>
      </w:tr>
    </w:tbl>
    <w:p>
      <w:pPr>
        <w:spacing w:after="100"/>
      </w:pPr>
    </w:p>
    <w:p>
      <w:pPr>
        <w:spacing w:after="100" w:before="0" w:line="248"/>
        <w:jc w:val="both"/>
      </w:pPr>
      <w:r>
        <w:rPr>
          <w:rFonts w:ascii="Times New Roman" w:cs="Times New Roman" w:eastAsia="Times New Roman" w:hAnsi="Times New Roman"/>
          <w:sz w:val="19"/>
          <w:szCs w:val="19"/>
        </w:rPr>
        <w:t xml:space="preserve">Users sign in with a Google ID token verified on the server. Records are pushed in batches of 25 and pulled by sequence cursor. Audit state resolves by newest timestamp, whereas visit counts and time spent are partitioned by device and summed so that activity on two devices accumulates and is not overwritten. The history view shows a dashboard of audited sites grouped by status, with per-site score trends (Fig. 6d).</w:t>
      </w:r>
    </w:p>
    <w:p>
      <w:pPr>
        <w:keepNext/>
        <w:spacing w:after="50" w:before="100"/>
        <w:jc w:val="center"/>
      </w:pPr>
      <w:r>
        <w:drawing>
          <wp:inline distT="0" distB="0" distL="0" distR="0">
            <wp:extent cx="4495800" cy="3000375"/>
            <wp:effectExtent t="0" r="0" b="0" l="0"/>
            <wp:docPr id="1" name="p_grid" descr="Extension user interface: (a) sidepanel audit view, (b) enforcement view, (c) chat widget, (d) history dashboard." title="Extension user interface: (a) sidepanel audit view, (b) enforcement view, (c) chat widget, (d) history dashboard."/>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5" cstate="none"/>
                    <a:srcRect/>
                    <a:stretch>
                      <a:fillRect/>
                    </a:stretch>
                  </pic:blipFill>
                  <pic:spPr bwMode="auto">
                    <a:xfrm>
                      <a:off x="0" y="0"/>
                      <a:ext cx="4495800" cy="300037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6. </w:t>
      </w:r>
      <w:r>
        <w:rPr>
          <w:rFonts w:ascii="Times New Roman" w:cs="Times New Roman" w:eastAsia="Times New Roman" w:hAnsi="Times New Roman"/>
          <w:sz w:val="18"/>
          <w:szCs w:val="18"/>
        </w:rPr>
        <w:t xml:space="preserve">Extension user interface: (a) sidepanel audit view, (b) enforcement view, (c) chat widget, (d) history dashboard. (Placeholders: insert original screenshots from the extension.)</w:t>
      </w:r>
    </w:p>
    <w:p>
      <w:pPr>
        <w:pStyle w:val="Heading1"/>
        <w:keepNext/>
        <w:spacing w:after="110" w:before="260"/>
        <w:jc w:val="center"/>
      </w:pPr>
      <w:r>
        <w:rPr>
          <w:rFonts w:ascii="Times New Roman" w:cs="Times New Roman" w:eastAsia="Times New Roman" w:hAnsi="Times New Roman"/>
          <w:sz w:val="20"/>
          <w:szCs w:val="20"/>
        </w:rPr>
        <w:t xml:space="preserve">VII. EVALUATION PROTOCOL</w:t>
      </w:r>
    </w:p>
    <w:p>
      <w:pPr>
        <w:pStyle w:val="Heading2"/>
        <w:keepNext/>
        <w:spacing w:after="80" w:before="160"/>
      </w:pPr>
      <w:r>
        <w:rPr>
          <w:rFonts w:ascii="Times New Roman" w:cs="Times New Roman" w:eastAsia="Times New Roman" w:hAnsi="Times New Roman"/>
          <w:i/>
          <w:iCs/>
          <w:sz w:val="20"/>
          <w:szCs w:val="20"/>
        </w:rPr>
        <w:t xml:space="preserve">A. Research questions</w:t>
      </w:r>
    </w:p>
    <w:p>
      <w:pPr>
        <w:spacing w:after="100" w:before="0" w:line="248"/>
        <w:jc w:val="both"/>
      </w:pPr>
      <w:r>
        <w:rPr>
          <w:rFonts w:ascii="Times New Roman" w:cs="Times New Roman" w:eastAsia="Times New Roman" w:hAnsi="Times New Roman"/>
          <w:sz w:val="19"/>
          <w:szCs w:val="19"/>
        </w:rPr>
        <w:t xml:space="preserve">The evaluation is organised around five questions. The pilot reported in this paper speaks to parts of RQ1, RQ3 and RQ5; the remaining questions define the planned study in Section IX.</w:t>
      </w:r>
    </w:p>
    <w:p>
      <w:pPr>
        <w:pStyle w:val="ListParagraph"/>
        <w:numPr>
          <w:ilvl w:val="0"/>
          <w:numId w:val="3"/>
        </w:numPr>
        <w:spacing w:after="60" w:line="248"/>
        <w:jc w:val="both"/>
      </w:pPr>
      <w:r>
        <w:rPr>
          <w:rFonts w:ascii="Times New Roman" w:cs="Times New Roman" w:eastAsia="Times New Roman" w:hAnsi="Times New Roman"/>
          <w:b/>
          <w:bCs/>
          <w:sz w:val="19"/>
          <w:szCs w:val="19"/>
        </w:rPr>
        <w:t xml:space="preserve">RQ1 (detection).</w:t>
      </w:r>
      <w:r>
        <w:rPr>
          <w:rFonts w:ascii="Times New Roman" w:cs="Times New Roman" w:eastAsia="Times New Roman" w:hAnsi="Times New Roman"/>
          <w:sz w:val="19"/>
          <w:szCs w:val="19"/>
        </w:rPr>
        <w:t xml:space="preserve"> Does the fine-tuned auditor with the omission gate and SCL identify affirmative DPDP violations in real policies without fabricating citations?</w:t>
      </w:r>
    </w:p>
    <w:p>
      <w:pPr>
        <w:pStyle w:val="ListParagraph"/>
        <w:numPr>
          <w:ilvl w:val="0"/>
          <w:numId w:val="3"/>
        </w:numPr>
        <w:spacing w:after="60" w:line="248"/>
        <w:jc w:val="both"/>
      </w:pPr>
      <w:r>
        <w:rPr>
          <w:rFonts w:ascii="Times New Roman" w:cs="Times New Roman" w:eastAsia="Times New Roman" w:hAnsi="Times New Roman"/>
          <w:b/>
          <w:bCs/>
          <w:sz w:val="19"/>
          <w:szCs w:val="19"/>
        </w:rPr>
        <w:t xml:space="preserve">RQ2 (contribution of components).</w:t>
      </w:r>
      <w:r>
        <w:rPr>
          <w:rFonts w:ascii="Times New Roman" w:cs="Times New Roman" w:eastAsia="Times New Roman" w:hAnsi="Times New Roman"/>
          <w:sz w:val="19"/>
          <w:szCs w:val="19"/>
        </w:rPr>
        <w:t xml:space="preserve"> How much do SimPO alignment, the omission gate, the SCL and the cross-encoder each contribute?</w:t>
      </w:r>
    </w:p>
    <w:p>
      <w:pPr>
        <w:pStyle w:val="ListParagraph"/>
        <w:numPr>
          <w:ilvl w:val="0"/>
          <w:numId w:val="3"/>
        </w:numPr>
        <w:spacing w:after="60" w:line="248"/>
        <w:jc w:val="both"/>
      </w:pPr>
      <w:r>
        <w:rPr>
          <w:rFonts w:ascii="Times New Roman" w:cs="Times New Roman" w:eastAsia="Times New Roman" w:hAnsi="Times New Roman"/>
          <w:b/>
          <w:bCs/>
          <w:sz w:val="19"/>
          <w:szCs w:val="19"/>
        </w:rPr>
        <w:t xml:space="preserve">RQ3 (retrieval).</w:t>
      </w:r>
      <w:r>
        <w:rPr>
          <w:rFonts w:ascii="Times New Roman" w:cs="Times New Roman" w:eastAsia="Times New Roman" w:hAnsi="Times New Roman"/>
          <w:sz w:val="19"/>
          <w:szCs w:val="19"/>
        </w:rPr>
        <w:t xml:space="preserve"> Does hybrid retrieval with re-ranking return the governing section more reliably than either index alone?</w:t>
      </w:r>
    </w:p>
    <w:p>
      <w:pPr>
        <w:pStyle w:val="ListParagraph"/>
        <w:numPr>
          <w:ilvl w:val="0"/>
          <w:numId w:val="3"/>
        </w:numPr>
        <w:spacing w:after="60" w:line="248"/>
        <w:jc w:val="both"/>
      </w:pPr>
      <w:r>
        <w:rPr>
          <w:rFonts w:ascii="Times New Roman" w:cs="Times New Roman" w:eastAsia="Times New Roman" w:hAnsi="Times New Roman"/>
          <w:b/>
          <w:bCs/>
          <w:sz w:val="19"/>
          <w:szCs w:val="19"/>
        </w:rPr>
        <w:t xml:space="preserve">RQ4 (user effect).</w:t>
      </w:r>
      <w:r>
        <w:rPr>
          <w:rFonts w:ascii="Times New Roman" w:cs="Times New Roman" w:eastAsia="Times New Roman" w:hAnsi="Times New Roman"/>
          <w:sz w:val="19"/>
          <w:szCs w:val="19"/>
        </w:rPr>
        <w:t xml:space="preserve"> Do findings and chat explanations improve user comprehension, and does enforcement break legitimate sites?</w:t>
      </w:r>
    </w:p>
    <w:p>
      <w:pPr>
        <w:pStyle w:val="ListParagraph"/>
        <w:numPr>
          <w:ilvl w:val="0"/>
          <w:numId w:val="3"/>
        </w:numPr>
        <w:spacing w:after="60" w:line="248"/>
        <w:jc w:val="both"/>
      </w:pPr>
      <w:r>
        <w:rPr>
          <w:rFonts w:ascii="Times New Roman" w:cs="Times New Roman" w:eastAsia="Times New Roman" w:hAnsi="Times New Roman"/>
          <w:b/>
          <w:bCs/>
          <w:sz w:val="19"/>
          <w:szCs w:val="19"/>
        </w:rPr>
        <w:t xml:space="preserve">RQ5 (deployment).</w:t>
      </w:r>
      <w:r>
        <w:rPr>
          <w:rFonts w:ascii="Times New Roman" w:cs="Times New Roman" w:eastAsia="Times New Roman" w:hAnsi="Times New Roman"/>
          <w:sz w:val="19"/>
          <w:szCs w:val="19"/>
        </w:rPr>
        <w:t xml:space="preserve"> Can the system answer within interactive limits on the intended hardware, and how do cache and context limits shape behaviour?</w:t>
      </w:r>
    </w:p>
    <w:p>
      <w:pPr>
        <w:pStyle w:val="Heading2"/>
        <w:keepNext/>
        <w:spacing w:after="80" w:before="160"/>
      </w:pPr>
      <w:r>
        <w:rPr>
          <w:rFonts w:ascii="Times New Roman" w:cs="Times New Roman" w:eastAsia="Times New Roman" w:hAnsi="Times New Roman"/>
          <w:i/>
          <w:iCs/>
          <w:sz w:val="20"/>
          <w:szCs w:val="20"/>
        </w:rPr>
        <w:t xml:space="preserve">B. Pilot corpus</w:t>
      </w:r>
    </w:p>
    <w:p>
      <w:pPr>
        <w:spacing w:after="100" w:before="0" w:line="248"/>
        <w:jc w:val="both"/>
      </w:pPr>
      <w:r>
        <w:rPr>
          <w:rFonts w:ascii="Times New Roman" w:cs="Times New Roman" w:eastAsia="Times New Roman" w:hAnsi="Times New Roman"/>
          <w:sz w:val="19"/>
          <w:szCs w:val="19"/>
        </w:rPr>
        <w:t xml:space="preserve">The pilot uses ten high-traffic Indian fiduciaries chosen across three sectors to limit domain bias (Table XII). Policy length varies widely. The shortest policy in the set is Paytm's, at 1,962 characters, and the longest, MakeMyTrip's, reaches the 64,000-character extraction cap, so it is truncated by the cap rather than measured at its true length. The ratio between the two is about 33 to 1. Each policy is audited through the production endpoint, and a scripted harness records latency, violation count and violation type per site.</w:t>
      </w:r>
    </w:p>
    <w:p>
      <w:pPr>
        <w:keepNext/>
        <w:spacing w:after="70" w:before="140"/>
        <w:jc w:val="center"/>
      </w:pPr>
      <w:r>
        <w:rPr>
          <w:rFonts w:ascii="Times New Roman" w:cs="Times New Roman" w:eastAsia="Times New Roman" w:hAnsi="Times New Roman"/>
          <w:smallCaps/>
          <w:sz w:val="17"/>
          <w:szCs w:val="17"/>
        </w:rPr>
        <w:t xml:space="preserve">TABLE XII: </w:t>
      </w:r>
      <w:r>
        <w:rPr>
          <w:rFonts w:ascii="Times New Roman" w:cs="Times New Roman" w:eastAsia="Times New Roman" w:hAnsi="Times New Roman"/>
          <w:sz w:val="16"/>
          <w:szCs w:val="16"/>
        </w:rPr>
        <w:br/>
        <w:t xml:space="preserve">PILOT CORPUS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7"/>
        <w:gridCol w:w="3084"/>
        <w:gridCol w:w="3727"/>
      </w:tblGrid>
      <w:tr>
        <w:trPr>
          <w:cantSplit/>
          <w:tblHeader/>
        </w:trPr>
        <w:tc>
          <w:tcPr>
            <w:tcW w:type="dxa" w:w="282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Fiduciaries</w:t>
            </w:r>
          </w:p>
        </w:tc>
        <w:tc>
          <w:tcPr>
            <w:tcW w:type="dxa" w:w="3084"/>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Sector</w:t>
            </w:r>
          </w:p>
        </w:tc>
        <w:tc>
          <w:tcPr>
            <w:tcW w:type="dxa" w:w="372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Notes</w:t>
            </w:r>
          </w:p>
        </w:tc>
      </w:tr>
      <w:tr>
        <w:trPr>
          <w:cantSplit/>
          <w:tblHeader w:val="false"/>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Zomato, Swiggy, Nykaa</w:t>
            </w:r>
          </w:p>
        </w:tc>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E-commerce and food-tech</w:t>
            </w:r>
          </w:p>
        </w:tc>
        <w:tc>
          <w:tcPr>
            <w:tcW w:type="dxa" w:w="37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Three consumer platforms with account and location data</w:t>
            </w:r>
          </w:p>
        </w:tc>
      </w:tr>
      <w:tr>
        <w:trPr>
          <w:cantSplit/>
          <w:tblHeader w:val="false"/>
        </w:trPr>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Paytm, Zerodha, Groww, CRED</w:t>
            </w:r>
          </w:p>
        </w:tc>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FinTech and brokerage</w:t>
            </w:r>
          </w:p>
        </w:tc>
        <w:tc>
          <w:tcPr>
            <w:tcW w:type="dxa" w:w="37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Four regulated financial services; Paytm has the shortest policy (1,962 chars)</w:t>
            </w:r>
          </w:p>
        </w:tc>
      </w:tr>
      <w:tr>
        <w:trPr>
          <w:cantSplit/>
          <w:tblHeader w:val="false"/>
        </w:trPr>
        <w:tc>
          <w:tcPr>
            <w:tcW w:type="dxa" w:w="282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MakeMyTrip, Tata 1mg, redBus</w:t>
            </w:r>
          </w:p>
        </w:tc>
        <w:tc>
          <w:tcPr>
            <w:tcW w:type="dxa" w:w="3084"/>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Travel and health-tech</w:t>
            </w:r>
          </w:p>
        </w:tc>
        <w:tc>
          <w:tcPr>
            <w:tcW w:type="dxa" w:w="372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Three platforms; MakeMyTrip policy hits the 64,000-char cap</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C. Reference labels and baselines</w:t>
      </w:r>
    </w:p>
    <w:p>
      <w:pPr>
        <w:spacing w:after="100" w:before="0" w:line="248"/>
        <w:jc w:val="both"/>
      </w:pPr>
      <w:r>
        <w:rPr>
          <w:rFonts w:ascii="Times New Roman" w:cs="Times New Roman" w:eastAsia="Times New Roman" w:hAnsi="Times New Roman"/>
          <w:sz w:val="19"/>
          <w:szCs w:val="19"/>
        </w:rPr>
        <w:t xml:space="preserve">[TO BE COMPLETED BY THE AUTHORS: describe how reference labels were produced for the ten policies, including who annotated them, the guidelines, how disagreements were resolved and an agreement statistic. The evaluation record we received lists outcomes but not this protocol.]</w:t>
      </w:r>
    </w:p>
    <w:p>
      <w:pPr>
        <w:spacing w:after="100" w:before="0" w:line="248"/>
        <w:jc w:val="both"/>
      </w:pPr>
      <w:r>
        <w:rPr>
          <w:rFonts w:ascii="Times New Roman" w:cs="Times New Roman" w:eastAsia="Times New Roman" w:hAnsi="Times New Roman"/>
          <w:sz w:val="19"/>
          <w:szCs w:val="19"/>
        </w:rPr>
        <w:t>The only external baseline with published numbers is APLiance. Its evaluation labels 400 (policy, attribute) pairs as true, false or unknown and reports pair-level metrics. Our pilot reports site-level outcomes. We therefore compare the two on design properties and on derived statistics from the published confusion matrix, and we do not rank them. A like-for-like comparison requires running Ssense on the same 25-policy, 16-attribute protocol, which is study E1 in Section IX. We do not report baselines for other models, because the evaluation record contains none.</w:t>
      </w:r>
    </w:p>
    <w:p>
      <w:pPr>
        <w:pStyle w:val="Heading2"/>
        <w:keepNext/>
        <w:spacing w:after="80" w:before="160"/>
      </w:pPr>
      <w:r>
        <w:rPr>
          <w:rFonts w:ascii="Times New Roman" w:cs="Times New Roman" w:eastAsia="Times New Roman" w:hAnsi="Times New Roman"/>
          <w:i/>
          <w:iCs/>
          <w:sz w:val="20"/>
          <w:szCs w:val="20"/>
        </w:rPr>
        <w:t xml:space="preserve">D. Metrics</w:t>
      </w:r>
    </w:p>
    <w:p>
      <w:pPr>
        <w:spacing w:after="100" w:before="0" w:line="248"/>
        <w:jc w:val="both"/>
      </w:pPr>
      <w:r>
        <w:rPr>
          <w:rFonts w:ascii="Times New Roman" w:cs="Times New Roman" w:eastAsia="Times New Roman" w:hAnsi="Times New Roman"/>
          <w:sz w:val="19"/>
          <w:szCs w:val="19"/>
        </w:rPr>
        <w:t xml:space="preserve">Detection is scored with the standard confusion-matrix measures, and hallucination as the fraction of cited statute references that do not exist in the statute: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3067050" cy="247650"/>
                  <wp:effectExtent t="0" r="0" b="0" l="0"/>
                  <wp:docPr id="1" name="e_prf" descr="e_prf" title="e_prf"/>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6" cstate="none"/>
                          <a:srcRect/>
                          <a:stretch>
                            <a:fillRect/>
                          </a:stretch>
                        </pic:blipFill>
                        <pic:spPr bwMode="auto">
                          <a:xfrm>
                            <a:off x="0" y="0"/>
                            <a:ext cx="3067050" cy="2476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(12)</w:t>
            </w:r>
          </w:p>
        </w:tc>
      </w:tr>
    </w:tbl>
    <w:p>
      <w:pPr>
        <w:spacing w:after="4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066925" cy="247650"/>
                  <wp:effectExtent t="0" r="0" b="0" l="0"/>
                  <wp:docPr id="1" name="e_fpr" descr="e_fpr" title="e_fpr"/>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7" cstate="none"/>
                          <a:srcRect/>
                          <a:stretch>
                            <a:fillRect/>
                          </a:stretch>
                        </pic:blipFill>
                        <pic:spPr bwMode="auto">
                          <a:xfrm>
                            <a:off x="0" y="0"/>
                            <a:ext cx="2066925" cy="24765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(13)</w:t>
            </w:r>
          </w:p>
        </w:tc>
      </w:tr>
    </w:tbl>
    <w:p>
      <w:pPr>
        <w:spacing w:after="40"/>
      </w:pPr>
    </w:p>
    <w:p>
      <w:pPr>
        <w:spacing w:after="100" w:before="0" w:line="248"/>
        <w:jc w:val="both"/>
      </w:pPr>
      <w:r>
        <w:rPr>
          <w:rFonts w:ascii="Times New Roman" w:cs="Times New Roman" w:eastAsia="Times New Roman" w:hAnsi="Times New Roman"/>
          <w:sz w:val="19"/>
          <w:szCs w:val="19"/>
        </w:rPr>
        <w:t xml:space="preserve">APLiance's misclassification rate of 5.5% is the complement of its accuracy and should not be read as a false-positive rate; Section VIII-C derives its false-positive rate from the published matrix. For enforcement we avoid a single headline figure. The action-assignment rate (AAR) is the fraction of confirmed violations that receive a mapped action, and the blocking-effect rate (BER) is the fraction whose assigned action belongs to the set B of actions that change network behaviour (blocking, header stripping, spoofing or signal injection):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3086100" cy="304800"/>
                  <wp:effectExtent t="0" r="0" b="0" l="0"/>
                  <wp:docPr id="1" name="e_dee" descr="e_dee" title="e_de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8" cstate="none"/>
                          <a:srcRect/>
                          <a:stretch>
                            <a:fillRect/>
                          </a:stretch>
                        </pic:blipFill>
                        <pic:spPr bwMode="auto">
                          <a:xfrm>
                            <a:off x="0" y="0"/>
                            <a:ext cx="3086100" cy="3048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(14)</w:t>
            </w:r>
          </w:p>
        </w:tc>
      </w:tr>
    </w:tbl>
    <w:p>
      <w:pPr>
        <w:spacing w:after="40"/>
      </w:pPr>
    </w:p>
    <w:p>
      <w:pPr>
        <w:spacing w:after="100" w:before="0" w:line="248"/>
        <w:jc w:val="both"/>
      </w:pPr>
      <w:r>
        <w:rPr>
          <w:rFonts w:ascii="Times New Roman" w:cs="Times New Roman" w:eastAsia="Times New Roman" w:hAnsi="Times New Roman"/>
          <w:sz w:val="19"/>
          <w:szCs w:val="19"/>
        </w:rPr>
        <w:t xml:space="preserve">This separation matters because a warning is an action in the decision tree but changes nothing on the wire. Retrieval is scored with Recall@k and normalised discounted cumulative gain: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2552700" cy="390525"/>
                  <wp:effectExtent t="0" r="0" b="0" l="0"/>
                  <wp:docPr id="1" name="e_ndcg" descr="e_ndcg" title="e_ndc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9" cstate="none"/>
                          <a:srcRect/>
                          <a:stretch>
                            <a:fillRect/>
                          </a:stretch>
                        </pic:blipFill>
                        <pic:spPr bwMode="auto">
                          <a:xfrm>
                            <a:off x="0" y="0"/>
                            <a:ext cx="2552700" cy="390525"/>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(15)</w:t>
            </w:r>
          </w:p>
        </w:tc>
      </w:tr>
    </w:tbl>
    <w:p>
      <w:pPr>
        <w:spacing w:after="40"/>
      </w:pPr>
    </w:p>
    <w:p>
      <w:pPr>
        <w:spacing w:after="100" w:before="0" w:line="248"/>
        <w:jc w:val="both"/>
      </w:pPr>
      <w:r>
        <w:rPr>
          <w:rFonts w:ascii="Times New Roman" w:cs="Times New Roman" w:eastAsia="Times New Roman" w:hAnsi="Times New Roman"/>
          <w:sz w:val="19"/>
          <w:szCs w:val="19"/>
        </w:rPr>
        <w:t>Proportions are reported with Wilson 95% score intervals (E. B. Wilson, 1927), and every release gate is applied to the lower bound: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c>
          <w:tcPr>
            <w:tcW w:type="dxa" w:w="8838"/>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center"/>
            </w:pPr>
            <w:r>
              <w:drawing>
                <wp:inline distT="0" distB="0" distL="0" distR="0">
                  <wp:extent cx="1809750" cy="419100"/>
                  <wp:effectExtent t="0" r="0" b="0" l="0"/>
                  <wp:docPr id="1" name="e_wil" descr="e_wil" title="e_wi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0" cstate="none"/>
                          <a:srcRect/>
                          <a:stretch>
                            <a:fillRect/>
                          </a:stretch>
                        </pic:blipFill>
                        <pic:spPr bwMode="auto">
                          <a:xfrm>
                            <a:off x="0" y="0"/>
                            <a:ext cx="1809750" cy="419100"/>
                          </a:xfrm>
                          <a:prstGeom prst="rect">
                            <a:avLst/>
                          </a:prstGeom>
                        </pic:spPr>
                      </pic:pic>
                    </a:graphicData>
                  </a:graphic>
                </wp:inline>
              </w:drawing>
            </w:r>
          </w:p>
        </w:tc>
        <w:tc>
          <w:tcPr>
            <w:tcW w:type="dxa" w:w="800"/>
            <w:tcBorders>
              <w:top w:val="none" w:color="FFFFFF" w:sz="0"/>
              <w:left w:val="none" w:color="FFFFFF" w:sz="0"/>
              <w:bottom w:val="none" w:color="FFFFFF" w:sz="0"/>
              <w:right w:val="none" w:color="FFFFFF" w:sz="0"/>
            </w:tcBorders>
            <w:tcMar>
              <w:top w:type="dxa" w:w="50"/>
              <w:left w:type="dxa" w:w="0"/>
              <w:bottom w:type="dxa" w:w="50"/>
              <w:right w:type="dxa" w:w="0"/>
            </w:tcMar>
            <w:vAlign w:val="center"/>
          </w:tcPr>
          <w:p>
            <w:pPr>
              <w:jc w:val="right"/>
            </w:pPr>
            <w:r>
              <w:rPr>
                <w:rFonts w:ascii="Times New Roman" w:cs="Times New Roman" w:eastAsia="Times New Roman" w:hAnsi="Times New Roman"/>
                <w:sz w:val="20"/>
                <w:szCs w:val="20"/>
              </w:rPr>
              <w:t xml:space="preserve">(16)</w:t>
            </w:r>
          </w:p>
        </w:tc>
      </w:tr>
    </w:tbl>
    <w:p>
      <w:pPr>
        <w:spacing w:after="40"/>
      </w:pPr>
    </w:p>
    <w:p>
      <w:pPr>
        <w:pStyle w:val="Heading2"/>
        <w:keepNext/>
        <w:spacing w:after="80" w:before="160"/>
      </w:pPr>
      <w:r>
        <w:rPr>
          <w:rFonts w:ascii="Times New Roman" w:cs="Times New Roman" w:eastAsia="Times New Roman" w:hAnsi="Times New Roman"/>
          <w:i/>
          <w:iCs/>
          <w:sz w:val="20"/>
          <w:szCs w:val="20"/>
        </w:rPr>
        <w:t xml:space="preserve">E. Release certification</w:t>
      </w:r>
    </w:p>
    <w:p>
      <w:pPr>
        <w:spacing w:after="100" w:before="0" w:line="248"/>
        <w:jc w:val="both"/>
      </w:pPr>
      <w:r>
        <w:rPr>
          <w:rFonts w:ascii="Times New Roman" w:cs="Times New Roman" w:eastAsia="Times New Roman" w:hAnsi="Times New Roman"/>
          <w:sz w:val="19"/>
          <w:szCs w:val="19"/>
        </w:rPr>
        <w:t xml:space="preserve">Before deployment, each adapter must pass an 18-axis matrix (Table XIII). Gating at the Wilson lower bound means that a high score on a small holdout cannot pass by chance. The table also states, for each axis, what the evaluation record supports at the time of writing. Most axes are pending because the record we received contains pilot outcomes and retrieval figures but not the certification run itself.</w:t>
      </w:r>
    </w:p>
    <w:p>
      <w:pPr>
        <w:keepNext/>
        <w:spacing w:after="70" w:before="140"/>
        <w:jc w:val="center"/>
      </w:pPr>
      <w:r>
        <w:rPr>
          <w:rFonts w:ascii="Times New Roman" w:cs="Times New Roman" w:eastAsia="Times New Roman" w:hAnsi="Times New Roman"/>
          <w:smallCaps/>
          <w:sz w:val="17"/>
          <w:szCs w:val="17"/>
        </w:rPr>
        <w:t xml:space="preserve">TABLE XIII: </w:t>
      </w:r>
      <w:r>
        <w:rPr>
          <w:rFonts w:ascii="Times New Roman" w:cs="Times New Roman" w:eastAsia="Times New Roman" w:hAnsi="Times New Roman"/>
          <w:sz w:val="16"/>
          <w:szCs w:val="16"/>
        </w:rPr>
        <w:br/>
        <w:t xml:space="preserve">CERTIFICATION AXES, GATES AND EVIDENCE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1"/>
        <w:gridCol w:w="3019"/>
        <w:gridCol w:w="929"/>
        <w:gridCol w:w="3019"/>
      </w:tblGrid>
      <w:tr>
        <w:trPr>
          <w:cantSplit/>
          <w:tblHeader/>
        </w:trPr>
        <w:tc>
          <w:tcPr>
            <w:tcW w:type="dxa" w:w="267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Axis</w:t>
            </w:r>
          </w:p>
        </w:tc>
        <w:tc>
          <w:tcPr>
            <w:tcW w:type="dxa" w:w="301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Metric</w:t>
            </w:r>
          </w:p>
        </w:tc>
        <w:tc>
          <w:tcPr>
            <w:tcW w:type="dxa" w:w="92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Gate</w:t>
            </w:r>
          </w:p>
        </w:tc>
        <w:tc>
          <w:tcPr>
            <w:tcW w:type="dxa" w:w="3019"/>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Status in this paper</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 Schema compliance</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JSON validation rate</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99%</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2 Omission firewall</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Flag set correctly</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95%</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3 Violation F1</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Severity-weighted</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0.72</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Pilot F1 1.00 (n = 10); gate test 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4 Trust-score error</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MAE vs. reference</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8 pts</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5 Evidence grounding</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Verbatim in source</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90%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6 Fabricated statutes</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Fraction of reports</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1%</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Pilot 0 of 10; 95% upper bound 27.8%</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7 RAG Recall@3</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Correct sections</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0.85</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Reported BM25 0.885, BGE 0.962; protocol 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8 RAG NDCG@3</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Ranking quality</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0.80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9 Chatbot citation precision</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Correct citations</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0.90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10 Chatbot lexical diversity</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MTLD</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70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11 Schema bleed</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Audit JSON in chat</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12 Injection ASR (N = 50)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Attack success</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5%</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13 Sycophancy</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Answer change under pressure</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10%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14 2D needle-in-haystack</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Retrieval at 20k tokens</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95%</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15 TTFT P50, GPU</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Median first token</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3 s</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16 TTFT P50, CPU</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Median first token</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12 s</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2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17 Contamination</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7-gram overlap train/eval</w:t>
            </w:r>
          </w:p>
        </w:tc>
        <w:tc>
          <w:tcPr>
            <w:tcW w:type="dxa" w:w="92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0%</w:t>
            </w:r>
          </w:p>
        </w:tc>
        <w:tc>
          <w:tcPr>
            <w:tcW w:type="dxa" w:w="3019"/>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Enforced by pipeline; report pending</w:t>
            </w:r>
          </w:p>
        </w:tc>
      </w:tr>
      <w:tr>
        <w:trPr>
          <w:cantSplit/>
          <w:tblHeader w:val="false"/>
        </w:trPr>
        <w:tc>
          <w:tcPr>
            <w:tcW w:type="dxa" w:w="267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18 Concurrency</w:t>
            </w:r>
          </w:p>
        </w:tc>
        <w:tc>
          <w:tcPr>
            <w:tcW w:type="dxa" w:w="301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16 parallel requests</w:t>
            </w:r>
          </w:p>
        </w:tc>
        <w:tc>
          <w:tcPr>
            <w:tcW w:type="dxa" w:w="92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No OOM</w:t>
            </w:r>
          </w:p>
        </w:tc>
        <w:tc>
          <w:tcPr>
            <w:tcW w:type="dxa" w:w="3019"/>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Pending</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F. Reproducibility parameters</w:t>
      </w:r>
    </w:p>
    <w:p>
      <w:pPr>
        <w:spacing w:after="100" w:before="0" w:line="248"/>
        <w:jc w:val="both"/>
      </w:pPr>
      <w:r>
        <w:rPr>
          <w:rFonts w:ascii="Times New Roman" w:cs="Times New Roman" w:eastAsia="Times New Roman" w:hAnsi="Times New Roman"/>
          <w:sz w:val="19"/>
          <w:szCs w:val="19"/>
        </w:rPr>
        <w:t xml:space="preserve">Table XIV collects the settings needed to repeat the pilot and the training run. Values come from the project documentation.</w:t>
      </w:r>
    </w:p>
    <w:p>
      <w:pPr>
        <w:keepNext/>
        <w:spacing w:after="70" w:before="140"/>
        <w:jc w:val="center"/>
      </w:pPr>
      <w:r>
        <w:rPr>
          <w:rFonts w:ascii="Times New Roman" w:cs="Times New Roman" w:eastAsia="Times New Roman" w:hAnsi="Times New Roman"/>
          <w:smallCaps/>
          <w:sz w:val="17"/>
          <w:szCs w:val="17"/>
        </w:rPr>
        <w:t xml:space="preserve">TABLE XIV: </w:t>
      </w:r>
      <w:r>
        <w:rPr>
          <w:rFonts w:ascii="Times New Roman" w:cs="Times New Roman" w:eastAsia="Times New Roman" w:hAnsi="Times New Roman"/>
          <w:sz w:val="16"/>
          <w:szCs w:val="16"/>
        </w:rPr>
        <w:br/>
        <w:t xml:space="preserve">REPRODUCIBILITY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Item</w:t>
            </w:r>
          </w:p>
        </w:tc>
        <w:tc>
          <w:tcPr>
            <w:tcW w:type="dxa" w:w="6554"/>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Setting</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Base model</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Qwen2.5-7B-Instruct (28 layers), BF16</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Teacher model</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Qwen2-72B-Instruct, FP8 weights</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Adapters</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rsLoRA, all linear modules; auditor r = 128, α = 32; chatbot r = 64, α = 16</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Optimiser</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FP32 AdamW over BF16 base weights</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Alignment</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SimPO; β = 2.0 (auditor), 1.0 (chatbot); γ is the target margin</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Training hardware</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NVIDIA DGX Spark (GB10), CUDA 13.0, PyTorch 2.11.0, Unsloth 2026.8</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Retrieval</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237 chunks; BM25 + </w:t>
            </w:r>
            <w:r>
              <w:rPr>
                <w:rFonts w:ascii="Courier New" w:cs="Courier New" w:eastAsia="Courier New" w:hAnsi="Courier New"/>
                <w:b w:val="false"/>
                <w:bCs w:val="false"/>
                <w:sz w:val="15"/>
                <w:szCs w:val="15"/>
              </w:rPr>
              <w:t xml:space="preserve">bge-large-en-v1.5</w:t>
            </w:r>
            <w:r>
              <w:rPr>
                <w:rFonts w:ascii="Times New Roman" w:cs="Times New Roman" w:eastAsia="Times New Roman" w:hAnsi="Times New Roman"/>
                <w:b w:val="false"/>
                <w:bCs w:val="false"/>
                <w:sz w:val="17"/>
                <w:szCs w:val="17"/>
              </w:rPr>
              <w:t xml:space="preserve">; </w:t>
            </w:r>
            <w:r>
              <w:rPr>
                <w:rFonts w:ascii="Courier New" w:cs="Courier New" w:eastAsia="Courier New" w:hAnsi="Courier New"/>
                <w:b w:val="false"/>
                <w:bCs w:val="false"/>
                <w:sz w:val="15"/>
                <w:szCs w:val="15"/>
              </w:rPr>
              <w:t xml:space="preserve">bge-reranker-v2-m3</w:t>
            </w:r>
            <w:r>
              <w:rPr>
                <w:rFonts w:ascii="Times New Roman" w:cs="Times New Roman" w:eastAsia="Times New Roman" w:hAnsi="Times New Roman"/>
                <w:b w:val="false"/>
                <w:bCs w:val="false"/>
                <w:sz w:val="17"/>
                <w:szCs w:val="17"/>
              </w:rPr>
              <w:t xml:space="preserve">; α = 0.45 in project notes</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Serving</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FastAPI; vLLM (GPU/Jetson) or Transformers+PEFT (CPU); 8,192-token window; FP8 KV cache</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Caches</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LRU-TTL 512 entries, 5 min; SQLite 90 days; SHA-256 policy hash</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Consumer-GPU split</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19 layers on GPU, 9 on CPU; 0.5–18.5 tokens/s measured</w:t>
            </w:r>
          </w:p>
        </w:tc>
      </w:tr>
      <w:tr>
        <w:trPr>
          <w:cantSplit/>
          <w:tblHeader w:val="false"/>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Extraction limits</w:t>
            </w:r>
          </w:p>
        </w:tc>
        <w:tc>
          <w:tcPr>
            <w:tcW w:type="dxa" w:w="655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8 MB response, 20 s timeout, 6 redirects, 64,000 characters</w:t>
            </w:r>
          </w:p>
        </w:tc>
      </w:tr>
      <w:tr>
        <w:trPr>
          <w:cantSplit/>
          <w:tblHeader w:val="false"/>
        </w:trPr>
        <w:tc>
          <w:tcPr>
            <w:tcW w:type="dxa" w:w="3084"/>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Contamination check</w:t>
            </w:r>
          </w:p>
        </w:tc>
        <w:tc>
          <w:tcPr>
            <w:tcW w:type="dxa" w:w="6554"/>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MinHash 7-gram with LSH between train and evaluation</w:t>
            </w:r>
          </w:p>
        </w:tc>
      </w:tr>
    </w:tbl>
    <w:p>
      <w:pPr>
        <w:spacing w:after="100"/>
      </w:pPr>
    </w:p>
    <w:p>
      <w:pPr>
        <w:pStyle w:val="Heading1"/>
        <w:keepNext/>
        <w:spacing w:after="110" w:before="260"/>
        <w:jc w:val="center"/>
      </w:pPr>
      <w:r>
        <w:rPr>
          <w:rFonts w:ascii="Times New Roman" w:cs="Times New Roman" w:eastAsia="Times New Roman" w:hAnsi="Times New Roman"/>
          <w:sz w:val="20"/>
          <w:szCs w:val="20"/>
        </w:rPr>
        <w:t xml:space="preserve">VIII. RESULTS AND ANALYSIS</w:t>
      </w:r>
    </w:p>
    <w:p>
      <w:pPr>
        <w:pStyle w:val="Heading2"/>
        <w:keepNext/>
        <w:spacing w:after="80" w:before="160"/>
      </w:pPr>
      <w:r>
        <w:rPr>
          <w:rFonts w:ascii="Times New Roman" w:cs="Times New Roman" w:eastAsia="Times New Roman" w:hAnsi="Times New Roman"/>
          <w:i/>
          <w:iCs/>
          <w:sz w:val="20"/>
          <w:szCs w:val="20"/>
        </w:rPr>
        <w:t xml:space="preserve">A. Pilot outcome</w:t>
      </w:r>
    </w:p>
    <w:p>
      <w:pPr>
        <w:spacing w:after="100" w:before="0" w:line="248"/>
        <w:jc w:val="both"/>
      </w:pPr>
      <w:r>
        <w:rPr>
          <w:rFonts w:ascii="Times New Roman" w:cs="Times New Roman" w:eastAsia="Times New Roman" w:hAnsi="Times New Roman"/>
          <w:sz w:val="19"/>
          <w:szCs w:val="19"/>
        </w:rPr>
        <w:t xml:space="preserve">Across the ten audited fiduciaries the system confirmed three violations at three sites (Table XV). It reported no violation for the other seven. No fabricated statute references were recorded, and no confirmed violation was a false positive against the reference labels. Two of the three flagged sites are in the food-tech group and one is in travel; none of the four FinTech sites and neither e-commerce site outside food-tech was flagged (Fig. 7). The flagged proportion is 3 of 10 (30%), with a Wilson 95% interval of roughly 11% to 60%, so the sector differences visible in the figure are well within sampling noise.</w:t>
      </w:r>
    </w:p>
    <w:p>
      <w:pPr>
        <w:keepNext/>
        <w:spacing w:after="70" w:before="140"/>
        <w:jc w:val="center"/>
      </w:pPr>
      <w:r>
        <w:rPr>
          <w:rFonts w:ascii="Times New Roman" w:cs="Times New Roman" w:eastAsia="Times New Roman" w:hAnsi="Times New Roman"/>
          <w:smallCaps/>
          <w:sz w:val="17"/>
          <w:szCs w:val="17"/>
        </w:rPr>
        <w:t xml:space="preserve">TABLE XV: </w:t>
      </w:r>
      <w:r>
        <w:rPr>
          <w:rFonts w:ascii="Times New Roman" w:cs="Times New Roman" w:eastAsia="Times New Roman" w:hAnsi="Times New Roman"/>
          <w:sz w:val="16"/>
          <w:szCs w:val="16"/>
        </w:rPr>
        <w:br/>
        <w:t xml:space="preserve">VIOLATIONS CONFIRMED IN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1"/>
        <w:gridCol w:w="4112"/>
        <w:gridCol w:w="1414"/>
        <w:gridCol w:w="2441"/>
      </w:tblGrid>
      <w:tr>
        <w:trPr>
          <w:cantSplit/>
          <w:tblHeader/>
        </w:trPr>
        <w:tc>
          <w:tcPr>
            <w:tcW w:type="dxa" w:w="167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Fiduciary</w:t>
            </w:r>
          </w:p>
        </w:tc>
        <w:tc>
          <w:tcPr>
            <w:tcW w:type="dxa" w:w="4112"/>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Violation type</w:t>
            </w:r>
          </w:p>
        </w:tc>
        <w:tc>
          <w:tcPr>
            <w:tcW w:type="dxa" w:w="1414"/>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Section</w:t>
            </w:r>
          </w:p>
        </w:tc>
        <w:tc>
          <w:tcPr>
            <w:tcW w:type="dxa" w:w="244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Assigned action</w:t>
            </w:r>
          </w:p>
        </w:tc>
      </w:tr>
      <w:tr>
        <w:trPr>
          <w:cantSplit/>
          <w:tblHeader w:val="false"/>
        </w:trPr>
        <w:tc>
          <w:tcPr>
            <w:tcW w:type="dxa" w:w="1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Zomato</w:t>
            </w:r>
          </w:p>
        </w:tc>
        <w:tc>
          <w:tcPr>
            <w:tcW w:type="dxa" w:w="41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NOTICE_INADEQUATE</w:t>
            </w:r>
          </w:p>
        </w:tc>
        <w:tc>
          <w:tcPr>
            <w:tcW w:type="dxa" w:w="14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§5(1)</w:t>
            </w:r>
          </w:p>
        </w:tc>
        <w:tc>
          <w:tcPr>
            <w:tcW w:type="dxa" w:w="24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WARN_USER_ONLY</w:t>
            </w:r>
          </w:p>
        </w:tc>
      </w:tr>
      <w:tr>
        <w:trPr>
          <w:cantSplit/>
          <w:tblHeader w:val="false"/>
        </w:trPr>
        <w:tc>
          <w:tcPr>
            <w:tcW w:type="dxa" w:w="167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Swiggy</w:t>
            </w:r>
          </w:p>
        </w:tc>
        <w:tc>
          <w:tcPr>
            <w:tcW w:type="dxa" w:w="411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PURPOSE_LIMITATION_VIOLATION</w:t>
            </w:r>
          </w:p>
        </w:tc>
        <w:tc>
          <w:tcPr>
            <w:tcW w:type="dxa" w:w="1414"/>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§8(7)</w:t>
            </w:r>
          </w:p>
        </w:tc>
        <w:tc>
          <w:tcPr>
            <w:tcW w:type="dxa" w:w="24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WARN_USER_ONLY</w:t>
            </w:r>
          </w:p>
        </w:tc>
      </w:tr>
      <w:tr>
        <w:trPr>
          <w:cantSplit/>
          <w:tblHeader w:val="false"/>
        </w:trPr>
        <w:tc>
          <w:tcPr>
            <w:tcW w:type="dxa" w:w="167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redBus</w:t>
            </w:r>
          </w:p>
        </w:tc>
        <w:tc>
          <w:tcPr>
            <w:tcW w:type="dxa" w:w="4112"/>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LEGITIMATE_USES_ABUSE</w:t>
            </w:r>
          </w:p>
        </w:tc>
        <w:tc>
          <w:tcPr>
            <w:tcW w:type="dxa" w:w="1414"/>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§7</w:t>
            </w:r>
          </w:p>
        </w:tc>
        <w:tc>
          <w:tcPr>
            <w:tcW w:type="dxa" w:w="244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Courier New" w:cs="Courier New" w:eastAsia="Courier New" w:hAnsi="Courier New"/>
                <w:b w:val="false"/>
                <w:bCs w:val="false"/>
                <w:sz w:val="16"/>
                <w:szCs w:val="16"/>
              </w:rPr>
              <w:t xml:space="preserve">WARN_USER_ONLY</w:t>
            </w:r>
          </w:p>
        </w:tc>
      </w:tr>
    </w:tbl>
    <w:p>
      <w:pPr>
        <w:spacing w:after="100"/>
      </w:pPr>
    </w:p>
    <w:p>
      <w:pPr>
        <w:spacing w:after="120"/>
        <w:jc w:val="both"/>
      </w:pPr>
      <w:r>
        <w:rPr>
          <w:rFonts w:ascii="Times New Roman" w:cs="Times New Roman" w:eastAsia="Times New Roman" w:hAnsi="Times New Roman"/>
          <w:sz w:val="17"/>
          <w:szCs w:val="17"/>
        </w:rPr>
        <w:t xml:space="preserve">The evaluation record cites Section 8(7) for the Swiggy purpose-limitation finding, whereas Table VIII maps Section 8(7) to retention. The section mapping for this type should be checked against the statute before release.</w:t>
      </w:r>
    </w:p>
    <w:p>
      <w:pPr>
        <w:keepNext/>
        <w:spacing w:after="50" w:before="100"/>
        <w:jc w:val="center"/>
      </w:pPr>
      <w:r>
        <w:drawing>
          <wp:inline distT="0" distB="0" distL="0" distR="0">
            <wp:extent cx="3143250" cy="1952625"/>
            <wp:effectExtent t="0" r="0" b="0" l="0"/>
            <wp:docPr id="1" name="f11_sector" descr="Pilot outcome by sector. Counts are too small for comparisons between sectors." title="Pilot outcome by sector. Counts are too small for comparisons between sector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1" cstate="none"/>
                    <a:srcRect/>
                    <a:stretch>
                      <a:fillRect/>
                    </a:stretch>
                  </pic:blipFill>
                  <pic:spPr bwMode="auto">
                    <a:xfrm>
                      <a:off x="0" y="0"/>
                      <a:ext cx="3143250" cy="195262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7. </w:t>
      </w:r>
      <w:r>
        <w:rPr>
          <w:rFonts w:ascii="Times New Roman" w:cs="Times New Roman" w:eastAsia="Times New Roman" w:hAnsi="Times New Roman"/>
          <w:sz w:val="18"/>
          <w:szCs w:val="18"/>
        </w:rPr>
        <w:t xml:space="preserve">Pilot outcome by sector. Counts are too small for comparisons between sectors.</w:t>
      </w:r>
    </w:p>
    <w:p>
      <w:pPr>
        <w:pStyle w:val="Heading2"/>
        <w:keepNext/>
        <w:spacing w:after="80" w:before="160"/>
      </w:pPr>
      <w:r>
        <w:rPr>
          <w:rFonts w:ascii="Times New Roman" w:cs="Times New Roman" w:eastAsia="Times New Roman" w:hAnsi="Times New Roman"/>
          <w:i/>
          <w:iCs/>
          <w:sz w:val="20"/>
          <w:szCs w:val="20"/>
        </w:rPr>
        <w:t xml:space="preserve">B. Comparison with the closest prior system</w:t>
      </w:r>
    </w:p>
    <w:p>
      <w:pPr>
        <w:spacing w:after="100" w:before="0" w:line="248"/>
        <w:jc w:val="both"/>
      </w:pPr>
      <w:r>
        <w:rPr>
          <w:rFonts w:ascii="Times New Roman" w:cs="Times New Roman" w:eastAsia="Times New Roman" w:hAnsi="Times New Roman"/>
          <w:sz w:val="19"/>
          <w:szCs w:val="19"/>
        </w:rPr>
        <w:t xml:space="preserve">Table XVI sets the pilot beside the published figures for APLiance. The columns differ in corpus size, evaluation unit and model, which is why the table gives no ranking. The pilot figures of 100% accuracy and zero false positives describe ten sites; the APLiance figures describe 400 attribute pairs from 25 policies.</w:t>
      </w:r>
    </w:p>
    <w:p>
      <w:pPr>
        <w:keepNext/>
        <w:spacing w:after="70" w:before="140"/>
        <w:jc w:val="center"/>
      </w:pPr>
      <w:r>
        <w:rPr>
          <w:rFonts w:ascii="Times New Roman" w:cs="Times New Roman" w:eastAsia="Times New Roman" w:hAnsi="Times New Roman"/>
          <w:smallCaps/>
          <w:sz w:val="17"/>
          <w:szCs w:val="17"/>
        </w:rPr>
        <w:t xml:space="preserve">TABLE XVI: </w:t>
      </w:r>
      <w:r>
        <w:rPr>
          <w:rFonts w:ascii="Times New Roman" w:cs="Times New Roman" w:eastAsia="Times New Roman" w:hAnsi="Times New Roman"/>
          <w:sz w:val="16"/>
          <w:szCs w:val="16"/>
        </w:rPr>
        <w:br/>
        <w:t xml:space="preserve">PILOT RESULTS BESIDE PUBLISHED APLIANCE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6"/>
        <w:gridCol w:w="3341"/>
        <w:gridCol w:w="3341"/>
      </w:tblGrid>
      <w:tr>
        <w:trPr>
          <w:cantSplit/>
          <w:tblHeader/>
        </w:trPr>
        <w:tc>
          <w:tcPr>
            <w:tcW w:type="dxa" w:w="2956"/>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Measure</w:t>
            </w:r>
          </w:p>
        </w:tc>
        <w:tc>
          <w:tcPr>
            <w:tcW w:type="dxa" w:w="334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 xml:space="preserve">Ssense (pilot)</w:t>
            </w:r>
          </w:p>
        </w:tc>
        <w:tc>
          <w:tcPr>
            <w:tcW w:type="dxa" w:w="3341"/>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8"/>
                <w:szCs w:val="18"/>
              </w:rPr>
              <w:t>APLiance</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Corpus</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10 policies</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25 policies</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Evaluation unit</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Site-level outcome</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400 (policy, attribute) pairs</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Extraction</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Fine-tuned Qwen2.5-7B + SCL</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Prompted GPT-5.4-mini, no fine-tuning</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Accuracy</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100% (10 of 10)</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94.5% (378 of 400)</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Precision / recall</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1.00 / 1.00</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0.961 / 0.961</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Misclassification rate</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0%</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5.5% (22 of 400)</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False-positive rate</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0 of 10</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9.4% (11 of 117)</w:t>
            </w:r>
          </w:p>
        </w:tc>
      </w:tr>
      <w:tr>
        <w:trPr>
          <w:cantSplit/>
          <w:tblHeader w:val="false"/>
        </w:trPr>
        <w:tc>
          <w:tcPr>
            <w:tcW w:type="dxa" w:w="2956"/>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Fabricated statute references</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0 of 10 reports</w:t>
            </w:r>
          </w:p>
        </w:tc>
        <w:tc>
          <w:tcPr>
            <w:tcW w:type="dxa" w:w="334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Not reported</w:t>
            </w:r>
          </w:p>
        </w:tc>
      </w:tr>
      <w:tr>
        <w:trPr>
          <w:cantSplit/>
          <w:tblHeader w:val="false"/>
        </w:trPr>
        <w:tc>
          <w:tcPr>
            <w:tcW w:type="dxa" w:w="2956"/>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Acts on findings in browser</w:t>
            </w:r>
          </w:p>
        </w:tc>
        <w:tc>
          <w:tcPr>
            <w:tcW w:type="dxa" w:w="334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Yes (5 actions)</w:t>
            </w:r>
          </w:p>
        </w:tc>
        <w:tc>
          <w:tcPr>
            <w:tcW w:type="dxa" w:w="3341"/>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8"/>
                <w:szCs w:val="18"/>
              </w:rPr>
              <w:t xml:space="preserve">No</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C. What the published confusion matrix shows</w:t>
      </w:r>
    </w:p>
    <w:p>
      <w:pPr>
        <w:spacing w:after="100" w:before="0" w:line="248"/>
        <w:jc w:val="both"/>
      </w:pPr>
      <w:r>
        <w:rPr>
          <w:rFonts w:ascii="Times New Roman" w:cs="Times New Roman" w:eastAsia="Times New Roman" w:hAnsi="Times New Roman"/>
          <w:sz w:val="19"/>
          <w:szCs w:val="19"/>
        </w:rPr>
        <w:t xml:space="preserve">The APLiance matrix allows several statistics that the paper does not state. Of the 400 pairs, 283 are positive and 117 negative, so a classifier that always answered “true” would score 70.75% accuracy. APLiance's 94.5% is therefore 23.8 points above that majority baseline. Its false-positive rate is 11 of 117, or 9.4%; its false-negative rate is 11 of 283, or 3.9%; its specificity is 90.6%; and its Matthews correlation coefficient is 0.867. The Wilson 95% interval for its accuracy is 0.918 to 0.963. Errors are concentrated in a few attributes (Fig. 8): consent_is_unambiguous has an accuracy of 0.64 with three false positives and six false negatives out of 25 policies, and easy_consent_withdrawal has 0.76. Both depend on implicit wording and match the error pattern the authors describe. These are exactly the attributes where an adapted model and a preference signal that penalises over-calling could help, but the pilot does not test that.</w:t>
      </w:r>
    </w:p>
    <w:p>
      <w:pPr>
        <w:keepNext/>
        <w:spacing w:after="50" w:before="100"/>
        <w:jc w:val="center"/>
      </w:pPr>
      <w:r>
        <w:drawing>
          <wp:inline distT="0" distB="0" distL="0" distR="0">
            <wp:extent cx="3448050" cy="1514475"/>
            <wp:effectExtent t="0" r="0" b="0" l="0"/>
            <wp:docPr id="1" name="f7_aplattr" descr="Published per-attribute accuracy for APLiance. The two attributes at the top rely on implicit wording." title="Published per-attribute accuracy for APLiance. The two attributes at the top rely on implicit wordi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2" cstate="none"/>
                    <a:srcRect/>
                    <a:stretch>
                      <a:fillRect/>
                    </a:stretch>
                  </pic:blipFill>
                  <pic:spPr bwMode="auto">
                    <a:xfrm>
                      <a:off x="0" y="0"/>
                      <a:ext cx="3448050" cy="151447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8. </w:t>
      </w:r>
      <w:r>
        <w:rPr>
          <w:rFonts w:ascii="Times New Roman" w:cs="Times New Roman" w:eastAsia="Times New Roman" w:hAnsi="Times New Roman"/>
          <w:sz w:val="18"/>
          <w:szCs w:val="18"/>
        </w:rPr>
        <w:t xml:space="preserve">Published per-attribute accuracy for APLiance. The two attributes at the top rely on implicit wording. (Source: Table 5 of the APLiance paper; blue bars are at least 0.90.)</w:t>
      </w:r>
    </w:p>
    <w:p>
      <w:pPr>
        <w:pStyle w:val="Heading2"/>
        <w:keepNext/>
        <w:spacing w:after="80" w:before="160"/>
      </w:pPr>
      <w:r>
        <w:rPr>
          <w:rFonts w:ascii="Times New Roman" w:cs="Times New Roman" w:eastAsia="Times New Roman" w:hAnsi="Times New Roman"/>
          <w:i/>
          <w:iCs/>
          <w:sz w:val="20"/>
          <w:szCs w:val="20"/>
        </w:rPr>
        <w:t xml:space="preserve">D. Statistical reading of the pilot</w:t>
      </w:r>
    </w:p>
    <w:p>
      <w:pPr>
        <w:spacing w:after="100" w:before="0" w:line="248"/>
        <w:jc w:val="both"/>
      </w:pPr>
      <w:r>
        <w:rPr>
          <w:rFonts w:ascii="Times New Roman" w:cs="Times New Roman" w:eastAsia="Times New Roman" w:hAnsi="Times New Roman"/>
          <w:sz w:val="19"/>
          <w:szCs w:val="19"/>
        </w:rPr>
        <w:t xml:space="preserve">A perfect score on a small sample carries limited information. Table XVII gives Wilson 95% intervals for the pilot proportions and for APLiance's accuracy, and Fig. 9 plots the lower bound for an error-free result as the number of test items grows.</w:t>
      </w:r>
    </w:p>
    <w:p>
      <w:pPr>
        <w:keepNext/>
        <w:spacing w:after="70" w:before="140"/>
        <w:jc w:val="center"/>
      </w:pPr>
      <w:r>
        <w:rPr>
          <w:rFonts w:ascii="Times New Roman" w:cs="Times New Roman" w:eastAsia="Times New Roman" w:hAnsi="Times New Roman"/>
          <w:smallCaps/>
          <w:sz w:val="17"/>
          <w:szCs w:val="17"/>
        </w:rPr>
        <w:t xml:space="preserve">TABLE XVII: </w:t>
      </w:r>
      <w:r>
        <w:rPr>
          <w:rFonts w:ascii="Times New Roman" w:cs="Times New Roman" w:eastAsia="Times New Roman" w:hAnsi="Times New Roman"/>
          <w:sz w:val="16"/>
          <w:szCs w:val="16"/>
        </w:rPr>
        <w:br/>
        <w:t xml:space="preserve">WILSON 95% INTERVALS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542"/>
        <w:gridCol w:w="1928"/>
        <w:gridCol w:w="2313"/>
      </w:tblGrid>
      <w:tr>
        <w:trPr>
          <w:cantSplit/>
          <w:tblHeader/>
        </w:trPr>
        <w:tc>
          <w:tcPr>
            <w:tcW w:type="dxa" w:w="3855"/>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Quantity</w:t>
            </w:r>
          </w:p>
        </w:tc>
        <w:tc>
          <w:tcPr>
            <w:tcW w:type="dxa" w:w="1542"/>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Count</w:t>
            </w:r>
          </w:p>
        </w:tc>
        <w:tc>
          <w:tcPr>
            <w:tcW w:type="dxa" w:w="192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95% interval</w:t>
            </w:r>
          </w:p>
        </w:tc>
        <w:tc>
          <w:tcPr>
            <w:tcW w:type="dxa" w:w="2313"/>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Comment</w:t>
            </w:r>
          </w:p>
        </w:tc>
      </w:tr>
      <w:tr>
        <w:trPr>
          <w:cantSplit/>
          <w:tblHeader w:val="false"/>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Ssense accuracy, site level</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10 / 10</w:t>
            </w:r>
          </w:p>
        </w:tc>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Lower bound 0.722</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Below the 0.90 and 0.95 gates</w:t>
            </w:r>
          </w:p>
        </w:tc>
      </w:tr>
      <w:tr>
        <w:trPr>
          <w:cantSplit/>
          <w:tblHeader w:val="false"/>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Ssense fabricated references</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0 / 10</w:t>
            </w:r>
          </w:p>
        </w:tc>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Upper bound 0.278</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Cannot support the 1% gate</w:t>
            </w:r>
          </w:p>
        </w:tc>
      </w:tr>
      <w:tr>
        <w:trPr>
          <w:cantSplit/>
          <w:tblHeader w:val="false"/>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Ssense action assignment</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3 / 3</w:t>
            </w:r>
          </w:p>
        </w:tc>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Lower bound 0.438</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All three are warnings</w:t>
            </w:r>
          </w:p>
        </w:tc>
      </w:tr>
      <w:tr>
        <w:trPr>
          <w:cantSplit/>
          <w:tblHeader w:val="false"/>
        </w:trPr>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Sites with a confirmed violation</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3 / 10</w:t>
            </w:r>
          </w:p>
        </w:tc>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0.108 to 0.603</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Wide</w:t>
            </w:r>
          </w:p>
        </w:tc>
      </w:tr>
      <w:tr>
        <w:trPr>
          <w:cantSplit/>
          <w:tblHeader w:val="false"/>
        </w:trPr>
        <w:tc>
          <w:tcPr>
            <w:tcW w:type="dxa" w:w="3855"/>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APLiance accuracy</w:t>
            </w:r>
          </w:p>
        </w:tc>
        <w:tc>
          <w:tcPr>
            <w:tcW w:type="dxa" w:w="1542"/>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378 / 400</w:t>
            </w:r>
          </w:p>
        </w:tc>
        <w:tc>
          <w:tcPr>
            <w:tcW w:type="dxa" w:w="192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0.918 to 0.963</w:t>
            </w:r>
          </w:p>
        </w:tc>
        <w:tc>
          <w:tcPr>
            <w:tcW w:type="dxa" w:w="2313"/>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Narrow</w:t>
            </w:r>
          </w:p>
        </w:tc>
      </w:tr>
    </w:tbl>
    <w:p>
      <w:pPr>
        <w:spacing w:after="100"/>
      </w:pPr>
    </w:p>
    <w:p>
      <w:pPr>
        <w:spacing w:after="100" w:before="0" w:line="248"/>
        <w:jc w:val="both"/>
      </w:pPr>
      <w:r>
        <w:rPr>
          <w:rFonts w:ascii="Times New Roman" w:cs="Times New Roman" w:eastAsia="Times New Roman" w:hAnsi="Times New Roman"/>
          <w:sz w:val="19"/>
          <w:szCs w:val="19"/>
        </w:rPr>
        <w:t xml:space="preserve">For a result with no errors, the lower bound equals n divided by n plus z squared, with z = 1.96. To reach a lower bound of 0.90 requires at least 35 error-free items, and 0.95 requires at least 73. The ten-site pilot is therefore too small to certify the system against its own gates, which is what the 18-axis matrix is meant to do on a larger holdout. We read the pilot as evidence that the pipeline runs end to end and that its output on this sample is clean, not as an estimate of population accuracy.</w:t>
      </w:r>
    </w:p>
    <w:p>
      <w:pPr>
        <w:keepNext/>
        <w:spacing w:after="50" w:before="100"/>
        <w:jc w:val="center"/>
      </w:pPr>
      <w:r>
        <w:drawing>
          <wp:inline distT="0" distB="0" distL="0" distR="0">
            <wp:extent cx="3448050" cy="2066925"/>
            <wp:effectExtent t="0" r="0" b="0" l="0"/>
            <wp:docPr id="1" name="f6_wilson" descr="Wilson lower bound for a zero-error result as the number of independent test items grows." title="Wilson lower bound for a zero-error result as the number of independent test items grow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3" cstate="none"/>
                    <a:srcRect/>
                    <a:stretch>
                      <a:fillRect/>
                    </a:stretch>
                  </pic:blipFill>
                  <pic:spPr bwMode="auto">
                    <a:xfrm>
                      <a:off x="0" y="0"/>
                      <a:ext cx="3448050" cy="206692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9. </w:t>
      </w:r>
      <w:r>
        <w:rPr>
          <w:rFonts w:ascii="Times New Roman" w:cs="Times New Roman" w:eastAsia="Times New Roman" w:hAnsi="Times New Roman"/>
          <w:sz w:val="18"/>
          <w:szCs w:val="18"/>
        </w:rPr>
        <w:t xml:space="preserve">Wilson lower bound for a zero-error result as the number of independent test items grows.</w:t>
      </w:r>
    </w:p>
    <w:p>
      <w:pPr>
        <w:pStyle w:val="Heading2"/>
        <w:keepNext/>
        <w:spacing w:after="80" w:before="160"/>
      </w:pPr>
      <w:r>
        <w:rPr>
          <w:rFonts w:ascii="Times New Roman" w:cs="Times New Roman" w:eastAsia="Times New Roman" w:hAnsi="Times New Roman"/>
          <w:i/>
          <w:iCs/>
          <w:sz w:val="20"/>
          <w:szCs w:val="20"/>
        </w:rPr>
        <w:t xml:space="preserve">E. What “compliant” means under different decision rules</w:t>
      </w:r>
    </w:p>
    <w:p>
      <w:pPr>
        <w:spacing w:after="100" w:before="0" w:line="248"/>
        <w:jc w:val="both"/>
      </w:pPr>
      <w:r>
        <w:rPr>
          <w:rFonts w:ascii="Times New Roman" w:cs="Times New Roman" w:eastAsia="Times New Roman" w:hAnsi="Times New Roman"/>
          <w:sz w:val="19"/>
          <w:szCs w:val="19"/>
        </w:rPr>
        <w:t xml:space="preserve">APLiance reports that none of 25 policies is fully compliant, while Ssense confirms violations at 3 of 10 sites. These numbers should not be set against each other, because they answer different questions (Table XVIII). In APLiance, compliance is a conjunction over all attributes, and the three attributes that failed for almost every policy (notices and consent requests in all Eighth Schedule languages, and a route for complaints to the Board) concern things a policy fails to provide. In Ssense, a violation is reported only when the policy affirmatively says something that conflicts with a provision. A policy that simply omits a required element passes through the omission gate without a finding. Under a rule that counts omissions, some of the seven clean sites in our pilot would very likely fail; under a rule that counts only affirmative breaches, many of the 25 policies in APLiance's set might pass. Neither convention is wrong, but readers of an audit score should know which one they are looking at. We regard reporting both views, an affirmative-breach list and a separate list of missing required elements, as a sensible extension.</w:t>
      </w:r>
    </w:p>
    <w:p>
      <w:pPr>
        <w:keepNext/>
        <w:spacing w:after="70" w:before="140"/>
        <w:jc w:val="center"/>
      </w:pPr>
      <w:r>
        <w:rPr>
          <w:rFonts w:ascii="Times New Roman" w:cs="Times New Roman" w:eastAsia="Times New Roman" w:hAnsi="Times New Roman"/>
          <w:smallCaps/>
          <w:sz w:val="17"/>
          <w:szCs w:val="17"/>
        </w:rPr>
        <w:t xml:space="preserve">TABLE XVIII: </w:t>
      </w:r>
      <w:r>
        <w:rPr>
          <w:rFonts w:ascii="Times New Roman" w:cs="Times New Roman" w:eastAsia="Times New Roman" w:hAnsi="Times New Roman"/>
          <w:sz w:val="16"/>
          <w:szCs w:val="16"/>
        </w:rPr>
        <w:br/>
        <w:t xml:space="preserve">DECISION SEMANTICS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3598"/>
        <w:gridCol w:w="3470"/>
      </w:tblGrid>
      <w:tr>
        <w:trPr>
          <w:cantSplit/>
          <w:tblHeader/>
        </w:trPr>
        <w:tc>
          <w:tcPr>
            <w:tcW w:type="dxa" w:w="257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Aspect</w:t>
            </w:r>
          </w:p>
        </w:tc>
        <w:tc>
          <w:tcPr>
            <w:tcW w:type="dxa" w:w="359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Ssense</w:t>
            </w:r>
          </w:p>
        </w:tc>
        <w:tc>
          <w:tcPr>
            <w:tcW w:type="dxa" w:w="347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APLiance</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Basis for a finding</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Affirmative claim in the policy</w:t>
            </w:r>
          </w:p>
        </w:tc>
        <w:tc>
          <w:tcPr>
            <w:tcW w:type="dxa" w:w="34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Attributes that are false or may be false</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Treatment of silence</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Dropped by the omission gate</w:t>
            </w:r>
          </w:p>
        </w:tc>
        <w:tc>
          <w:tcPr>
            <w:tcW w:type="dxa" w:w="34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Unknown attributes evaluated under all values; any denial makes the request violating</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Sections covered</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26 types across the fiduciary-facing sections</w:t>
            </w:r>
          </w:p>
        </w:tc>
        <w:tc>
          <w:tcPr>
            <w:tcW w:type="dxa" w:w="34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Sections 1 to 7 (16 attributes)</w:t>
            </w:r>
          </w:p>
        </w:tc>
      </w:tr>
      <w:tr>
        <w:trPr>
          <w:cantSplit/>
          <w:tblHeader w:val="false"/>
        </w:trPr>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Language requirement</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Not checked; non-Latin lines dropped</w:t>
            </w:r>
          </w:p>
        </w:tc>
        <w:tc>
          <w:tcPr>
            <w:tcW w:type="dxa" w:w="34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Checked; failed for all 25 policies</w:t>
            </w:r>
          </w:p>
        </w:tc>
      </w:tr>
      <w:tr>
        <w:trPr>
          <w:cantSplit/>
          <w:tblHeader w:val="false"/>
        </w:trPr>
        <w:tc>
          <w:tcPr>
            <w:tcW w:type="dxa" w:w="257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Outcome unit</w:t>
            </w:r>
          </w:p>
        </w:tc>
        <w:tc>
          <w:tcPr>
            <w:tcW w:type="dxa" w:w="359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List of violations with evidence and action</w:t>
            </w:r>
          </w:p>
        </w:tc>
        <w:tc>
          <w:tcPr>
            <w:tcW w:type="dxa" w:w="347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COMPLIANT or NON-COMPLIANT with numbered violations</w:t>
            </w:r>
          </w:p>
        </w:tc>
      </w:tr>
    </w:tbl>
    <w:p>
      <w:pPr>
        <w:spacing w:after="100"/>
      </w:pPr>
    </w:p>
    <w:p>
      <w:pPr>
        <w:pStyle w:val="Heading2"/>
        <w:keepNext/>
        <w:spacing w:after="80" w:before="160"/>
      </w:pPr>
      <w:r>
        <w:rPr>
          <w:rFonts w:ascii="Times New Roman" w:cs="Times New Roman" w:eastAsia="Times New Roman" w:hAnsi="Times New Roman"/>
          <w:i/>
          <w:iCs/>
          <w:sz w:val="20"/>
          <w:szCs w:val="20"/>
        </w:rPr>
        <w:t xml:space="preserve">F. Enforcement outcomes</w:t>
      </w:r>
    </w:p>
    <w:p>
      <w:pPr>
        <w:spacing w:after="100" w:before="0" w:line="248"/>
        <w:jc w:val="both"/>
      </w:pPr>
      <w:r>
        <w:rPr>
          <w:rFonts w:ascii="Times New Roman" w:cs="Times New Roman" w:eastAsia="Times New Roman" w:hAnsi="Times New Roman"/>
          <w:sz w:val="19"/>
          <w:szCs w:val="19"/>
        </w:rPr>
        <w:t xml:space="preserve">All three confirmed violations were assigned an action, an action-assignment rate of 3 of 3, but all three actions were </w:t>
      </w:r>
      <w:r>
        <w:rPr>
          <w:rFonts w:ascii="Courier New" w:cs="Courier New" w:eastAsia="Courier New" w:hAnsi="Courier New"/>
          <w:sz w:val="17"/>
          <w:szCs w:val="17"/>
        </w:rPr>
        <w:t xml:space="preserve">WARN_USER_ONLY</w:t>
      </w:r>
      <w:r>
        <w:rPr>
          <w:rFonts w:ascii="Times New Roman" w:cs="Times New Roman" w:eastAsia="Times New Roman" w:hAnsi="Times New Roman"/>
          <w:sz w:val="19"/>
          <w:szCs w:val="19"/>
        </w:rPr>
        <w:t xml:space="preserve">, so the blocking-effect rate in this sample is 0 of 3. The result shows that the mapping from finding to action functions for the warning class. It does not show how often blocking actions would be triggered, whether they would be correct, or what they would break. The two blocking types that would be most consequential, </w:t>
      </w:r>
      <w:r>
        <w:rPr>
          <w:rFonts w:ascii="Courier New" w:cs="Courier New" w:eastAsia="Courier New" w:hAnsi="Courier New"/>
          <w:sz w:val="17"/>
          <w:szCs w:val="17"/>
        </w:rPr>
        <w:t xml:space="preserve">CHILD_CONSENT_VIOLATION</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CROSS_BORDER_TRANSFER_VIOLATION</w:t>
      </w:r>
      <w:r>
        <w:rPr>
          <w:rFonts w:ascii="Times New Roman" w:cs="Times New Roman" w:eastAsia="Times New Roman" w:hAnsi="Times New Roman"/>
          <w:sz w:val="19"/>
          <w:szCs w:val="19"/>
        </w:rPr>
        <w:t xml:space="preserve">, did not occur in the pilot. Study E4 in Section IX is designed to measure these effects.</w:t>
      </w:r>
    </w:p>
    <w:p>
      <w:pPr>
        <w:pStyle w:val="Heading2"/>
        <w:keepNext/>
        <w:spacing w:after="80" w:before="160"/>
      </w:pPr>
      <w:r>
        <w:rPr>
          <w:rFonts w:ascii="Times New Roman" w:cs="Times New Roman" w:eastAsia="Times New Roman" w:hAnsi="Times New Roman"/>
          <w:i/>
          <w:iCs/>
          <w:sz w:val="20"/>
          <w:szCs w:val="20"/>
        </w:rPr>
        <w:t xml:space="preserve">G. Retrieval</w:t>
      </w:r>
    </w:p>
    <w:p>
      <w:pPr>
        <w:spacing w:after="100" w:before="0" w:line="248"/>
        <w:jc w:val="both"/>
      </w:pPr>
      <w:r>
        <w:rPr>
          <w:rFonts w:ascii="Times New Roman" w:cs="Times New Roman" w:eastAsia="Times New Roman" w:hAnsi="Times New Roman"/>
          <w:sz w:val="19"/>
          <w:szCs w:val="19"/>
        </w:rPr>
        <w:t xml:space="preserve">The evaluation record reports three stage-wise figures (Fig. 10). BM25 retrieved the correct structural clause for 88.5% of exact-wording queries. Dense BGE retrieval reached 96.2% on semantic edge cases such as implied-consent phrasing. After cross-encoder re-ranking, 99.8% of the top five chunks injected into the prompt were judged contextually relevant. The three figures measure different things (two recall-style rates on different query types and one relevance rate on the final shortlist), so they should not be read as a single monotone curve. They are consistent with the motivation for the hybrid design: lexical search is strong on section numbers and quoted terms, dense search on paraphrase, and the re-ranker filters the shortlist.</w:t>
      </w:r>
    </w:p>
    <w:p>
      <w:pPr>
        <w:keepNext/>
        <w:spacing w:after="50" w:before="100"/>
        <w:jc w:val="center"/>
      </w:pPr>
      <w:r>
        <w:drawing>
          <wp:inline distT="0" distB="0" distL="0" distR="0">
            <wp:extent cx="3076575" cy="1762125"/>
            <wp:effectExtent t="0" r="0" b="0" l="0"/>
            <wp:docPr id="1" name="f8_retr" descr="Stage-wise retrieval figures from the evaluation record. The metrics differ between bars." title="Stage-wise retrieval figures from the evaluation record. The metrics differ between bar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4" cstate="none"/>
                    <a:srcRect/>
                    <a:stretch>
                      <a:fillRect/>
                    </a:stretch>
                  </pic:blipFill>
                  <pic:spPr bwMode="auto">
                    <a:xfrm>
                      <a:off x="0" y="0"/>
                      <a:ext cx="3076575" cy="1762125"/>
                    </a:xfrm>
                    <a:prstGeom prst="rect">
                      <a:avLst/>
                    </a:prstGeom>
                  </pic:spPr>
                </pic:pic>
              </a:graphicData>
            </a:graphic>
          </wp:inline>
        </w:drawing>
      </w:r>
    </w:p>
    <w:p>
      <w:pPr>
        <w:spacing w:after="160"/>
        <w:ind w:left="300" w:right="300"/>
        <w:jc w:val="center"/>
      </w:pPr>
      <w:r>
        <w:rPr>
          <w:rFonts w:ascii="Times New Roman" w:cs="Times New Roman" w:eastAsia="Times New Roman" w:hAnsi="Times New Roman"/>
          <w:sz w:val="18"/>
          <w:szCs w:val="18"/>
        </w:rPr>
        <w:t xml:space="preserve">Fig. 10. </w:t>
      </w:r>
      <w:r>
        <w:rPr>
          <w:rFonts w:ascii="Times New Roman" w:cs="Times New Roman" w:eastAsia="Times New Roman" w:hAnsi="Times New Roman"/>
          <w:sz w:val="18"/>
          <w:szCs w:val="18"/>
        </w:rPr>
        <w:t xml:space="preserve">Stage-wise retrieval figures from the evaluation record. The metrics differ between bars.</w:t>
      </w:r>
    </w:p>
    <w:p>
      <w:pPr>
        <w:pStyle w:val="Heading2"/>
        <w:keepNext/>
        <w:spacing w:after="80" w:before="160"/>
      </w:pPr>
      <w:r>
        <w:rPr>
          <w:rFonts w:ascii="Times New Roman" w:cs="Times New Roman" w:eastAsia="Times New Roman" w:hAnsi="Times New Roman"/>
          <w:i/>
          <w:iCs/>
          <w:sz w:val="20"/>
          <w:szCs w:val="20"/>
        </w:rPr>
        <w:t xml:space="preserve">H. Context budget and deployment</w:t>
      </w:r>
    </w:p>
    <w:p>
      <w:pPr>
        <w:spacing w:after="100" w:before="0" w:line="248"/>
        <w:jc w:val="both"/>
      </w:pPr>
      <w:r>
        <w:rPr>
          <w:rFonts w:ascii="Times New Roman" w:cs="Times New Roman" w:eastAsia="Times New Roman" w:hAnsi="Times New Roman"/>
          <w:sz w:val="19"/>
          <w:szCs w:val="19"/>
        </w:rPr>
        <w:t xml:space="preserve">Policy length interacts with the context window. Using a heuristic of four characters per token, the 1,962-character policy needs about 490 tokens, whereas the 64,000-character cap corresponds to roughly 16,000 tokens, about twice the auditor's 8,192-token window. Long policies therefore cannot be passed whole to the evaluated configuration, which is why sections are selected by statutory-keyword density. That selection is a source of possible missed violations in long policies, and it is a main reason the target production configuration uses a larger window of up to 32,000 tokens, a figure that is a projection and not a measurement in this paper.</w:t>
      </w:r>
    </w:p>
    <w:p>
      <w:pPr>
        <w:spacing w:after="100" w:before="0" w:line="248"/>
        <w:jc w:val="both"/>
      </w:pPr>
      <w:r>
        <w:rPr>
          <w:rFonts w:ascii="Times New Roman" w:cs="Times New Roman" w:eastAsia="Times New Roman" w:hAnsi="Times New Roman"/>
          <w:sz w:val="19"/>
          <w:szCs w:val="19"/>
        </w:rPr>
        <w:t xml:space="preserve">On the consumer GPU with the 19/9 layer split, measured generation speed ranged from 0.5 to 18.5 tokens per second depending on load. To illustrate what this means, suppose an audit report of 400 tokens (an assumed length, not a measurement). At 0.5 tokens per second it would take 800 seconds, and at 18.5 tokens per second about 22 seconds. The slow end explains the request time-outs that motivate a centralised deployment on an NVIDIA AGX Thor class server, and the six-level cache is designed so that repeated visits never reach inference. We have no measured cache hit rates or per-tier latencies to report.</w:t>
      </w:r>
    </w:p>
    <w:p>
      <w:pPr>
        <w:pStyle w:val="Heading2"/>
        <w:keepNext/>
        <w:spacing w:after="80" w:before="160"/>
      </w:pPr>
      <w:r>
        <w:rPr>
          <w:rFonts w:ascii="Times New Roman" w:cs="Times New Roman" w:eastAsia="Times New Roman" w:hAnsi="Times New Roman"/>
          <w:i/>
          <w:iCs/>
          <w:sz w:val="20"/>
          <w:szCs w:val="20"/>
        </w:rPr>
        <w:t xml:space="preserve">I. Summary of findings</w:t>
      </w:r>
    </w:p>
    <w:p>
      <w:pPr>
        <w:pStyle w:val="ListParagraph"/>
        <w:numPr>
          <w:ilvl w:val="0"/>
          <w:numId w:val="4"/>
        </w:numPr>
        <w:spacing w:after="60" w:line="248"/>
        <w:jc w:val="both"/>
      </w:pPr>
      <w:r>
        <w:rPr>
          <w:rFonts w:ascii="Times New Roman" w:cs="Times New Roman" w:eastAsia="Times New Roman" w:hAnsi="Times New Roman"/>
          <w:sz w:val="19"/>
          <w:szCs w:val="19"/>
        </w:rPr>
        <w:t xml:space="preserve">The pipeline runs end to end on ten real Indian policies and produced three confirmed violations, no fabricated citations and no false positives against the reference labels.</w:t>
      </w:r>
    </w:p>
    <w:p>
      <w:pPr>
        <w:pStyle w:val="ListParagraph"/>
        <w:numPr>
          <w:ilvl w:val="0"/>
          <w:numId w:val="4"/>
        </w:numPr>
        <w:spacing w:after="60" w:line="248"/>
        <w:jc w:val="both"/>
      </w:pPr>
      <w:r>
        <w:rPr>
          <w:rFonts w:ascii="Times New Roman" w:cs="Times New Roman" w:eastAsia="Times New Roman" w:hAnsi="Times New Roman"/>
          <w:sz w:val="19"/>
          <w:szCs w:val="19"/>
        </w:rPr>
        <w:t xml:space="preserve">Ten sites are too few to support accuracy claims: a perfect score has a Wilson lower bound of 0.72, and at least 73 error-free items are needed to clear a 0.95 gate.</w:t>
      </w:r>
    </w:p>
    <w:p>
      <w:pPr>
        <w:pStyle w:val="ListParagraph"/>
        <w:numPr>
          <w:ilvl w:val="0"/>
          <w:numId w:val="4"/>
        </w:numPr>
        <w:spacing w:after="60" w:line="248"/>
        <w:jc w:val="both"/>
      </w:pPr>
      <w:r>
        <w:rPr>
          <w:rFonts w:ascii="Times New Roman" w:cs="Times New Roman" w:eastAsia="Times New Roman" w:hAnsi="Times New Roman"/>
          <w:sz w:val="19"/>
          <w:szCs w:val="19"/>
        </w:rPr>
        <w:t xml:space="preserve">Ssense and APLiance use different decision rules for silence. Their headline compliance figures answer different questions and should not be compared directly.</w:t>
      </w:r>
    </w:p>
    <w:p>
      <w:pPr>
        <w:pStyle w:val="ListParagraph"/>
        <w:numPr>
          <w:ilvl w:val="0"/>
          <w:numId w:val="4"/>
        </w:numPr>
        <w:spacing w:after="60" w:line="248"/>
        <w:jc w:val="both"/>
      </w:pPr>
      <w:r>
        <w:rPr>
          <w:rFonts w:ascii="Times New Roman" w:cs="Times New Roman" w:eastAsia="Times New Roman" w:hAnsi="Times New Roman"/>
          <w:sz w:val="19"/>
          <w:szCs w:val="19"/>
        </w:rPr>
        <w:t xml:space="preserve">All three enforcement actions in the pilot were warnings; blocking behaviour remains untested.</w:t>
      </w:r>
    </w:p>
    <w:p>
      <w:pPr>
        <w:pStyle w:val="ListParagraph"/>
        <w:numPr>
          <w:ilvl w:val="0"/>
          <w:numId w:val="4"/>
        </w:numPr>
        <w:spacing w:after="60" w:line="248"/>
        <w:jc w:val="both"/>
      </w:pPr>
      <w:r>
        <w:rPr>
          <w:rFonts w:ascii="Times New Roman" w:cs="Times New Roman" w:eastAsia="Times New Roman" w:hAnsi="Times New Roman"/>
          <w:sz w:val="19"/>
          <w:szCs w:val="19"/>
        </w:rPr>
        <w:t xml:space="preserve">Retrieval figures favour the hybrid design but lack a released protocol.</w:t>
      </w:r>
    </w:p>
    <w:p>
      <w:pPr>
        <w:pStyle w:val="ListParagraph"/>
        <w:numPr>
          <w:ilvl w:val="0"/>
          <w:numId w:val="4"/>
        </w:numPr>
        <w:spacing w:after="60" w:line="248"/>
        <w:jc w:val="both"/>
      </w:pPr>
      <w:r>
        <w:rPr>
          <w:rFonts w:ascii="Times New Roman" w:cs="Times New Roman" w:eastAsia="Times New Roman" w:hAnsi="Times New Roman"/>
          <w:sz w:val="19"/>
          <w:szCs w:val="19"/>
        </w:rPr>
        <w:t xml:space="preserve">Long policies exceed the 8,192-token window and depend on keyword-density selection; consumer-GPU generation is too slow for interactive use without caching.</w:t>
      </w:r>
    </w:p>
    <w:p>
      <w:pPr>
        <w:pStyle w:val="Heading1"/>
        <w:keepNext/>
        <w:spacing w:after="110" w:before="260"/>
        <w:jc w:val="center"/>
      </w:pPr>
      <w:r>
        <w:rPr>
          <w:rFonts w:ascii="Times New Roman" w:cs="Times New Roman" w:eastAsia="Times New Roman" w:hAnsi="Times New Roman"/>
          <w:sz w:val="20"/>
          <w:szCs w:val="20"/>
        </w:rPr>
        <w:t xml:space="preserve">IX. DISCUSSION</w:t>
      </w:r>
    </w:p>
    <w:p>
      <w:pPr>
        <w:pStyle w:val="Heading2"/>
        <w:keepNext/>
        <w:spacing w:after="80" w:before="160"/>
      </w:pPr>
      <w:r>
        <w:rPr>
          <w:rFonts w:ascii="Times New Roman" w:cs="Times New Roman" w:eastAsia="Times New Roman" w:hAnsi="Times New Roman"/>
          <w:i/>
          <w:iCs/>
          <w:sz w:val="20"/>
          <w:szCs w:val="20"/>
        </w:rPr>
        <w:t>A. Relation to APLiance and to interactive assessment</w:t>
      </w:r>
    </w:p>
    <w:p>
      <w:pPr>
        <w:spacing w:after="100" w:before="0" w:line="248"/>
        <w:jc w:val="both"/>
      </w:pPr>
      <w:r>
        <w:rPr>
          <w:rFonts w:ascii="Times New Roman" w:cs="Times New Roman" w:eastAsia="Times New Roman" w:hAnsi="Times New Roman"/>
          <w:sz w:val="19"/>
          <w:szCs w:val="19"/>
        </w:rPr>
        <w:t>Table XIX summarises where Ssense and APLiance differ. The two agree on the problem, on using a browser extension to deliver results, and on structuring compliance into intermediate decisions. They differ in who makes the decision, where the model runs, what the output triggers, and whether users can ask questions. APLiance puts the legal reasoning in a symbolic engine and uses the model only to read attribute values. Ssense puts more of the reasoning in an adapted model and then constrains and cross-checks it. The choice has a cost: a symbolic verdict is easy to audit rule by rule, whereas an adapted model's judgement is harder to inspect. Ssense answers this by requiring an evidence quote, a statute match and a justification for each finding, and by taking the section citation from the decision tree.</w:t>
      </w:r>
    </w:p>
    <w:p>
      <w:pPr>
        <w:keepNext/>
        <w:spacing w:after="70" w:before="140"/>
        <w:jc w:val="center"/>
      </w:pPr>
      <w:r>
        <w:rPr>
          <w:rFonts w:ascii="Times New Roman" w:cs="Times New Roman" w:eastAsia="Times New Roman" w:hAnsi="Times New Roman"/>
          <w:smallCaps/>
          <w:sz w:val="17"/>
          <w:szCs w:val="17"/>
        </w:rPr>
        <w:t xml:space="preserve">TABLE XIX: </w:t>
      </w:r>
      <w:r>
        <w:rPr>
          <w:rFonts w:ascii="Times New Roman" w:cs="Times New Roman" w:eastAsia="Times New Roman" w:hAnsi="Times New Roman"/>
          <w:sz w:val="16"/>
          <w:szCs w:val="16"/>
        </w:rPr>
        <w:br/>
        <w:t xml:space="preserve">DESIGN DIFFERENCES FROM APLIANCE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cantSplit/>
          <w:tblHeader/>
        </w:trPr>
        <w:tc>
          <w:tcPr>
            <w:tcW w:type="dxa" w:w="192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Aspect</w:t>
            </w:r>
          </w:p>
        </w:tc>
        <w:tc>
          <w:tcPr>
            <w:tcW w:type="dxa" w:w="3855"/>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APLiance</w:t>
            </w:r>
          </w:p>
        </w:tc>
        <w:tc>
          <w:tcPr>
            <w:tcW w:type="dxa" w:w="3855"/>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7"/>
                <w:szCs w:val="17"/>
              </w:rPr>
              <w:t xml:space="preserve">Ssense</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Law coverage</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Sections 1–7; 16 base attributes</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26 violation types across fiduciary-facing sections; Rules status to be confirmed</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Model</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Prompted GPT-5.4-mini, no fine-tuning</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Fine-tuned Qwen2.5-7B (rsLoRA, SFT then SimPO)</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Who decides</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Model extracts attributes; symbolic ABAC engine decides</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Constrained SLM output, omission gate and deterministic statutory layer</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Silence</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Unknown attributes evaluated under all values</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Dropped unless an affirmative claim exists</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Deployment</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Extension calls a remote backend that calls a hosted LLM; 24-hour cache</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Extension calls an operator-controlled server; six-level cache; hash-only storage</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Output</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COMPLIANT / NON-COMPLIANT and numbered violations</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Violations with severity, evidence, statute and action</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Consequence in browser</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None</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Network rules, header changes, API countermeasures, GPC signal</w:t>
            </w:r>
          </w:p>
        </w:tc>
      </w:tr>
      <w:tr>
        <w:trPr>
          <w:cantSplit/>
          <w:tblHeader w:val="false"/>
        </w:trPr>
        <w:tc>
          <w:tcPr>
            <w:tcW w:type="dxa" w:w="192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User help</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None</w:t>
            </w:r>
          </w:p>
        </w:tc>
        <w:tc>
          <w:tcPr>
            <w:tcW w:type="dxa" w:w="3855"/>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Citizen chatbot over the stored audit and statute</w:t>
            </w:r>
          </w:p>
        </w:tc>
      </w:tr>
      <w:tr>
        <w:trPr>
          <w:cantSplit/>
          <w:tblHeader w:val="false"/>
        </w:trPr>
        <w:tc>
          <w:tcPr>
            <w:tcW w:type="dxa" w:w="192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Evaluation (published)</w:t>
            </w:r>
          </w:p>
        </w:tc>
        <w:tc>
          <w:tcPr>
            <w:tcW w:type="dxa" w:w="3855"/>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25 policies, 400 pairs, accuracy 94.5%</w:t>
            </w:r>
          </w:p>
        </w:tc>
        <w:tc>
          <w:tcPr>
            <w:tcW w:type="dxa" w:w="3855"/>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7"/>
                <w:szCs w:val="17"/>
              </w:rPr>
              <w:t xml:space="preserve">Pilot on 10 policies; protocol and planned larger study</w:t>
            </w:r>
          </w:p>
        </w:tc>
      </w:tr>
    </w:tbl>
    <w:p>
      <w:pPr>
        <w:spacing w:after="100"/>
      </w:pPr>
    </w:p>
    <w:p>
      <w:pPr>
        <w:spacing w:after="100" w:before="0" w:line="248"/>
        <w:jc w:val="both"/>
      </w:pPr>
      <w:r>
        <w:rPr>
          <w:rFonts w:ascii="Times New Roman" w:cs="Times New Roman" w:eastAsia="Times New Roman" w:hAnsi="Times New Roman"/>
          <w:sz w:val="19"/>
          <w:szCs w:val="19"/>
        </w:rPr>
        <w:t>Ssense presents its results in layers: a score and grouped violations first, then evidence quotes and the model's reasoning on demand, in the spirit of the user-centred privacy work surveyed above [1]. The layers are generated from a specific audit against a specific statute, and a chat interface lets the user ask follow-up questions. Interactive policy assessment with chat has been studied with users [36], whereas we have not yet run a user study; study E5 is designed to measure the effect directly.</w:t>
      </w:r>
    </w:p>
    <w:p>
      <w:pPr>
        <w:pStyle w:val="Heading2"/>
        <w:keepNext/>
        <w:spacing w:after="80" w:before="160"/>
      </w:pPr>
      <w:r>
        <w:rPr>
          <w:rFonts w:ascii="Times New Roman" w:cs="Times New Roman" w:eastAsia="Times New Roman" w:hAnsi="Times New Roman"/>
          <w:i/>
          <w:iCs/>
          <w:sz w:val="20"/>
          <w:szCs w:val="20"/>
        </w:rPr>
        <w:t xml:space="preserve">B. Why a learned layer and a deterministic layer</w:t>
      </w:r>
    </w:p>
    <w:p>
      <w:pPr>
        <w:spacing w:after="100" w:before="0" w:line="248"/>
        <w:jc w:val="both"/>
      </w:pPr>
      <w:r>
        <w:rPr>
          <w:rFonts w:ascii="Times New Roman" w:cs="Times New Roman" w:eastAsia="Times New Roman" w:hAnsi="Times New Roman"/>
          <w:sz w:val="19"/>
          <w:szCs w:val="19"/>
        </w:rPr>
        <w:t>The two layers fail in different directions. The model can miss a plainly worded clause because of negation or long-context decay, or it can invent a violation from silence. The regex layer cannot interpret context, but it cannot forget a phrase it was written to catch. The omission gate and schema repair limit the model's false positives; the SCL union limits its false negatives for explicitly worded breaches; and safe-harbour patterns limit the false positives the SCL could add. This is a design argument supported by the structure of the system and by the known error pattern of prompted extractors, not by an ablation, because the SCL-off and gate-off configurations have not yet been run (E2).</w:t>
      </w:r>
    </w:p>
    <w:p>
      <w:pPr>
        <w:pStyle w:val="Heading2"/>
        <w:keepNext/>
        <w:spacing w:after="80" w:before="160"/>
      </w:pPr>
      <w:r>
        <w:rPr>
          <w:rFonts w:ascii="Times New Roman" w:cs="Times New Roman" w:eastAsia="Times New Roman" w:hAnsi="Times New Roman"/>
          <w:i/>
          <w:iCs/>
          <w:sz w:val="20"/>
          <w:szCs w:val="20"/>
        </w:rPr>
        <w:t xml:space="preserve">C. Control of inference</w:t>
      </w:r>
    </w:p>
    <w:p>
      <w:pPr>
        <w:spacing w:after="100" w:before="0" w:line="248"/>
        <w:jc w:val="both"/>
      </w:pPr>
      <w:r>
        <w:rPr>
          <w:rFonts w:ascii="Times New Roman" w:cs="Times New Roman" w:eastAsia="Times New Roman" w:hAnsi="Times New Roman"/>
          <w:sz w:val="19"/>
          <w:szCs w:val="19"/>
        </w:rPr>
        <w:t>Sending policy text to a hosted model API is itself a data-handling decision that a privacy tool should not make casually. Ssense keeps inference on infrastructure the operator controls, never persists raw policy text, and keeps credentials out of the page. Ssense is not yet an on-device system. The extension needs a reachable inference server, and the GGUF Q4_K_M export that would allow local execution has not been evaluated.</w:t>
      </w:r>
    </w:p>
    <w:p>
      <w:pPr>
        <w:pStyle w:val="Heading2"/>
        <w:keepNext/>
        <w:spacing w:after="80" w:before="160"/>
      </w:pPr>
      <w:r>
        <w:rPr>
          <w:rFonts w:ascii="Times New Roman" w:cs="Times New Roman" w:eastAsia="Times New Roman" w:hAnsi="Times New Roman"/>
          <w:i/>
          <w:iCs/>
          <w:sz w:val="20"/>
          <w:szCs w:val="20"/>
        </w:rPr>
        <w:t xml:space="preserve">D. Conservative enforcement</w:t>
      </w:r>
    </w:p>
    <w:p>
      <w:pPr>
        <w:spacing w:after="100" w:before="0" w:line="248"/>
        <w:jc w:val="both"/>
      </w:pPr>
      <w:r>
        <w:rPr>
          <w:rFonts w:ascii="Times New Roman" w:cs="Times New Roman" w:eastAsia="Times New Roman" w:hAnsi="Times New Roman"/>
          <w:sz w:val="19"/>
          <w:szCs w:val="19"/>
        </w:rPr>
        <w:t>Blocking a third-party request on a misclassified finding can break a legitimate site. For this reason blocking actions are reserved for violation types with immediate exposure, the omission gate and the SCL both favour precision, warnings are the default for organisational defects, and the user can see and override every rule. Extension-audit studies compare disclosures with observed traffic [7]–[9] but, as far as we found, none evaluates whether blocking is safe. This is a design stance, not a measured optimum. The pilot contains no blocking event, so the rate of site breakage is unknown, and measuring it is part of E4.</w:t>
      </w:r>
    </w:p>
    <w:p>
      <w:pPr>
        <w:pStyle w:val="Heading2"/>
        <w:keepNext/>
        <w:spacing w:after="80" w:before="160"/>
      </w:pPr>
      <w:r>
        <w:rPr>
          <w:rFonts w:ascii="Times New Roman" w:cs="Times New Roman" w:eastAsia="Times New Roman" w:hAnsi="Times New Roman"/>
          <w:i/>
          <w:iCs/>
          <w:sz w:val="20"/>
          <w:szCs w:val="20"/>
        </w:rPr>
        <w:t xml:space="preserve">E. Planned studies</w:t>
      </w:r>
    </w:p>
    <w:p>
      <w:pPr>
        <w:spacing w:after="100" w:before="0" w:line="248"/>
        <w:jc w:val="both"/>
      </w:pPr>
      <w:r>
        <w:rPr>
          <w:rFonts w:ascii="Times New Roman" w:cs="Times New Roman" w:eastAsia="Times New Roman" w:hAnsi="Times New Roman"/>
          <w:sz w:val="19"/>
          <w:szCs w:val="19"/>
        </w:rPr>
        <w:t>Table XX lists the studies that would turn the pilot into evidence for population-level claims. User studies are needed because many human-centred privacy studies involve no users [1]. Each study is sized with the Wilson interval in mind: error-free results need at least 73 independent items to clear a 0.95 lower bound.</w:t>
      </w:r>
    </w:p>
    <w:p>
      <w:pPr>
        <w:keepNext/>
        <w:spacing w:after="70" w:before="140"/>
        <w:jc w:val="center"/>
      </w:pPr>
      <w:r>
        <w:rPr>
          <w:rFonts w:ascii="Times New Roman" w:cs="Times New Roman" w:eastAsia="Times New Roman" w:hAnsi="Times New Roman"/>
          <w:smallCaps/>
          <w:sz w:val="17"/>
          <w:szCs w:val="17"/>
        </w:rPr>
        <w:t xml:space="preserve">TABLE XX: </w:t>
      </w:r>
      <w:r>
        <w:rPr>
          <w:rFonts w:ascii="Times New Roman" w:cs="Times New Roman" w:eastAsia="Times New Roman" w:hAnsi="Times New Roman"/>
          <w:sz w:val="16"/>
          <w:szCs w:val="16"/>
        </w:rPr>
        <w:br/>
        <w:t xml:space="preserve">PLANNED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2827"/>
        <w:gridCol w:w="3598"/>
        <w:gridCol w:w="2570"/>
      </w:tblGrid>
      <w:tr>
        <w:trPr>
          <w:cantSplit/>
          <w:tblHeader/>
        </w:trPr>
        <w:tc>
          <w:tcPr>
            <w:tcW w:type="dxa" w:w="643"/>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ID</w:t>
            </w:r>
          </w:p>
        </w:tc>
        <w:tc>
          <w:tcPr>
            <w:tcW w:type="dxa" w:w="2827"/>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Study</w:t>
            </w:r>
          </w:p>
        </w:tc>
        <w:tc>
          <w:tcPr>
            <w:tcW w:type="dxa" w:w="3598"/>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Measures</w:t>
            </w:r>
          </w:p>
        </w:tc>
        <w:tc>
          <w:tcPr>
            <w:tcW w:type="dxa" w:w="2570"/>
            <w:tcBorders>
              <w:top w:val="single" w:color="000000" w:sz="10"/>
              <w:left w:val="none" w:color="FFFFFF" w:sz="0"/>
              <w:bottom w:val="single" w:color="000000" w:sz="5"/>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bCs/>
                <w:sz w:val="16"/>
                <w:szCs w:val="16"/>
              </w:rPr>
              <w:t xml:space="preserve">Size</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E1</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Replicate APLiance's protocol: 25 policies, 16 attributes, three-valued labels</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Pair-level accuracy, precision, recall, per-attribute scores; paired comparison</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25 policies; ≥ 73 items for 0.95 gate</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E2</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Ablations: SFT-only, SCL off, omission gate off, no re-ranker</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Accuracy, FPR, hallucination rate per configuration</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Same corpus as E1</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E3</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Silence policy: omission gate vs. conservative-unknown rule</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Overlap and divergence of findings; expert adjudication</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Same corpus as E1</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E4</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Enforcement impact: blocking and header rules on flagged sites</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Breakage rate, user override rate, BER</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50 site visits per action type</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E5</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Comprehension study with and without chatbot and layered view</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Task accuracy, time, confidence; Likert scales</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40 participants</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E6</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Vernacular policies in Eighth Schedule languages</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Per-language recall; translation-loss analysis</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10 policies per language</w:t>
            </w:r>
          </w:p>
        </w:tc>
      </w:tr>
      <w:tr>
        <w:trPr>
          <w:cantSplit/>
          <w:tblHeader w:val="false"/>
        </w:trPr>
        <w:tc>
          <w:tcPr>
            <w:tcW w:type="dxa" w:w="643"/>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E7</w:t>
            </w:r>
          </w:p>
        </w:tc>
        <w:tc>
          <w:tcPr>
            <w:tcW w:type="dxa" w:w="2827"/>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Adversarial robustness: injection, obfuscation, long-context</w:t>
            </w:r>
          </w:p>
        </w:tc>
        <w:tc>
          <w:tcPr>
            <w:tcW w:type="dxa" w:w="3598"/>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Attack success rate (N ≥ 50), NIAH at 20k tokens</w:t>
            </w:r>
          </w:p>
        </w:tc>
        <w:tc>
          <w:tcPr>
            <w:tcW w:type="dxa" w:w="257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As in certification matrix</w:t>
            </w:r>
          </w:p>
        </w:tc>
      </w:tr>
      <w:tr>
        <w:trPr>
          <w:cantSplit/>
          <w:tblHeader w:val="false"/>
        </w:trPr>
        <w:tc>
          <w:tcPr>
            <w:tcW w:type="dxa" w:w="643"/>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E8</w:t>
            </w:r>
          </w:p>
        </w:tc>
        <w:tc>
          <w:tcPr>
            <w:tcW w:type="dxa" w:w="2827"/>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Load and latency on target hardware</w:t>
            </w:r>
          </w:p>
        </w:tc>
        <w:tc>
          <w:tcPr>
            <w:tcW w:type="dxa" w:w="3598"/>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TTFT P50/P95, throughput, cache hit rate</w:t>
            </w:r>
          </w:p>
        </w:tc>
        <w:tc>
          <w:tcPr>
            <w:tcW w:type="dxa" w:w="2570"/>
            <w:tcBorders>
              <w:top w:val="none" w:color="FFFFFF" w:sz="0"/>
              <w:left w:val="none" w:color="FFFFFF" w:sz="0"/>
              <w:bottom w:val="single" w:color="000000" w:sz="10"/>
              <w:right w:val="none" w:color="FFFFFF" w:sz="0"/>
            </w:tcBorders>
            <w:tcMar>
              <w:top w:type="dxa" w:w="40"/>
              <w:left w:type="dxa" w:w="70"/>
              <w:bottom w:type="dxa" w:w="40"/>
              <w:right w:type="dxa" w:w="70"/>
            </w:tcMar>
            <w:vAlign w:val="center"/>
          </w:tcPr>
          <w:p>
            <w:pPr>
              <w:spacing w:after="0" w:line="236"/>
              <w:jc w:val="left"/>
            </w:pPr>
            <w:r>
              <w:rPr>
                <w:rFonts w:ascii="Times New Roman" w:cs="Times New Roman" w:eastAsia="Times New Roman" w:hAnsi="Times New Roman"/>
                <w:b w:val="false"/>
                <w:bCs w:val="false"/>
                <w:sz w:val="16"/>
                <w:szCs w:val="16"/>
              </w:rPr>
              <w:t xml:space="preserve">≥ 1,000 requests</w:t>
            </w:r>
          </w:p>
        </w:tc>
      </w:tr>
    </w:tbl>
    <w:p>
      <w:pPr>
        <w:spacing w:after="100"/>
      </w:pPr>
    </w:p>
    <w:p>
      <w:pPr>
        <w:pStyle w:val="Heading1"/>
        <w:keepNext/>
        <w:spacing w:after="110" w:before="260"/>
        <w:jc w:val="center"/>
      </w:pPr>
      <w:r>
        <w:rPr>
          <w:rFonts w:ascii="Times New Roman" w:cs="Times New Roman" w:eastAsia="Times New Roman" w:hAnsi="Times New Roman"/>
          <w:sz w:val="20"/>
          <w:szCs w:val="20"/>
        </w:rPr>
        <w:t xml:space="preserve">X. LIMITATIONS AND THREATS TO VALIDITY</w:t>
      </w:r>
    </w:p>
    <w:p>
      <w:pPr>
        <w:spacing w:after="100" w:before="0" w:line="248"/>
        <w:jc w:val="both"/>
      </w:pPr>
      <w:r>
        <w:rPr>
          <w:rFonts w:ascii="Times New Roman" w:cs="Times New Roman" w:eastAsia="Times New Roman" w:hAnsi="Times New Roman"/>
          <w:b/>
          <w:bCs/>
          <w:sz w:val="19"/>
          <w:szCs w:val="19"/>
        </w:rPr>
        <w:t xml:space="preserve">Sample size and selection.</w:t>
      </w:r>
      <w:r>
        <w:rPr>
          <w:rFonts w:ascii="Times New Roman" w:cs="Times New Roman" w:eastAsia="Times New Roman" w:hAnsi="Times New Roman"/>
          <w:sz w:val="19"/>
          <w:szCs w:val="19"/>
        </w:rPr>
        <w:t xml:space="preserve"> Ten fiduciaries and three confirmed violations are too few for population claims, as Table XVII shows. The ten sites are large, well-resourced firms whose policies may be better drafted than those of smaller organisations, so the pilot may understate the violation rate in the long tail.</w:t>
      </w:r>
    </w:p>
    <w:p>
      <w:pPr>
        <w:spacing w:after="100" w:before="0" w:line="248"/>
        <w:jc w:val="both"/>
      </w:pPr>
      <w:r>
        <w:rPr>
          <w:rFonts w:ascii="Times New Roman" w:cs="Times New Roman" w:eastAsia="Times New Roman" w:hAnsi="Times New Roman"/>
          <w:b/>
          <w:bCs/>
          <w:sz w:val="19"/>
          <w:szCs w:val="19"/>
        </w:rPr>
        <w:t xml:space="preserve">Reference labels.</w:t>
      </w:r>
      <w:r>
        <w:rPr>
          <w:rFonts w:ascii="Times New Roman" w:cs="Times New Roman" w:eastAsia="Times New Roman" w:hAnsi="Times New Roman"/>
          <w:sz w:val="19"/>
          <w:szCs w:val="19"/>
        </w:rPr>
        <w:t xml:space="preserve"> The labelling protocol for the pilot is not documented in the evaluation record. APLiance-style three-valued labels (true, false, unknown) would make comparison fairer and capture cases where a policy does not settle a question.</w:t>
      </w:r>
    </w:p>
    <w:p>
      <w:pPr>
        <w:spacing w:after="100" w:before="0" w:line="248"/>
        <w:jc w:val="both"/>
      </w:pPr>
      <w:r>
        <w:rPr>
          <w:rFonts w:ascii="Times New Roman" w:cs="Times New Roman" w:eastAsia="Times New Roman" w:hAnsi="Times New Roman"/>
          <w:b/>
          <w:bCs/>
          <w:sz w:val="19"/>
          <w:szCs w:val="19"/>
        </w:rPr>
        <w:t xml:space="preserve">Comparability.</w:t>
      </w:r>
      <w:r>
        <w:rPr>
          <w:rFonts w:ascii="Times New Roman" w:cs="Times New Roman" w:eastAsia="Times New Roman" w:hAnsi="Times New Roman"/>
          <w:sz w:val="19"/>
          <w:szCs w:val="19"/>
        </w:rPr>
        <w:t xml:space="preserve"> The pilot and APLiance use different units, different decision rules for silence and different coverage, so the comparison in Section VIII is on design properties and derived statistics, not on a ranking.</w:t>
      </w:r>
    </w:p>
    <w:p>
      <w:pPr>
        <w:spacing w:after="100" w:before="0" w:line="248"/>
        <w:jc w:val="both"/>
      </w:pPr>
      <w:r>
        <w:rPr>
          <w:rFonts w:ascii="Times New Roman" w:cs="Times New Roman" w:eastAsia="Times New Roman" w:hAnsi="Times New Roman"/>
          <w:b/>
          <w:bCs/>
          <w:sz w:val="19"/>
          <w:szCs w:val="19"/>
        </w:rPr>
        <w:t xml:space="preserve">Truncation and context.</w:t>
      </w:r>
      <w:r>
        <w:rPr>
          <w:rFonts w:ascii="Times New Roman" w:cs="Times New Roman" w:eastAsia="Times New Roman" w:hAnsi="Times New Roman"/>
          <w:sz w:val="19"/>
          <w:szCs w:val="19"/>
        </w:rPr>
        <w:t xml:space="preserve"> The 64,000-character extraction cap truncates the longest policy, and policies above the 8,192-token window rely on keyword-density selection, which can miss violations located in unselected sections.</w:t>
      </w:r>
    </w:p>
    <w:p>
      <w:pPr>
        <w:spacing w:after="100" w:before="0" w:line="248"/>
        <w:jc w:val="both"/>
      </w:pPr>
      <w:r>
        <w:rPr>
          <w:rFonts w:ascii="Times New Roman" w:cs="Times New Roman" w:eastAsia="Times New Roman" w:hAnsi="Times New Roman"/>
          <w:b/>
          <w:bCs/>
          <w:sz w:val="19"/>
          <w:szCs w:val="19"/>
        </w:rPr>
        <w:t xml:space="preserve">Synthetic training data.</w:t>
      </w:r>
      <w:r>
        <w:rPr>
          <w:rFonts w:ascii="Times New Roman" w:cs="Times New Roman" w:eastAsia="Times New Roman" w:hAnsi="Times New Roman"/>
          <w:sz w:val="19"/>
          <w:szCs w:val="19"/>
        </w:rPr>
        <w:t xml:space="preserve"> Teacher-generated data inherits the teacher's blind spots and may under-represent adversarial drafting that real fiduciaries use. The contamination check guards against overlap with the evaluation set but not against shared bias.</w:t>
      </w:r>
    </w:p>
    <w:p>
      <w:pPr>
        <w:spacing w:after="100" w:before="0" w:line="248"/>
        <w:jc w:val="both"/>
      </w:pPr>
      <w:r>
        <w:rPr>
          <w:rFonts w:ascii="Times New Roman" w:cs="Times New Roman" w:eastAsia="Times New Roman" w:hAnsi="Times New Roman"/>
          <w:b/>
          <w:bCs/>
          <w:sz w:val="19"/>
          <w:szCs w:val="19"/>
        </w:rPr>
        <w:t xml:space="preserve">Hand-written patterns.</w:t>
      </w:r>
      <w:r>
        <w:rPr>
          <w:rFonts w:ascii="Times New Roman" w:cs="Times New Roman" w:eastAsia="Times New Roman" w:hAnsi="Times New Roman"/>
          <w:sz w:val="19"/>
          <w:szCs w:val="19"/>
        </w:rPr>
        <w:t xml:space="preserve"> The SCL's recall for explicit breaches depends on the completeness of its regex and safe-harbour sets. New drafting conventions can bypass them.</w:t>
      </w:r>
    </w:p>
    <w:p>
      <w:pPr>
        <w:spacing w:after="100" w:before="0" w:line="248"/>
        <w:jc w:val="both"/>
      </w:pPr>
      <w:r>
        <w:rPr>
          <w:rFonts w:ascii="Times New Roman" w:cs="Times New Roman" w:eastAsia="Times New Roman" w:hAnsi="Times New Roman"/>
          <w:b/>
          <w:bCs/>
          <w:sz w:val="19"/>
          <w:szCs w:val="19"/>
        </w:rPr>
        <w:t xml:space="preserve">Mapping consistency.</w:t>
      </w:r>
      <w:r>
        <w:rPr>
          <w:rFonts w:ascii="Times New Roman" w:cs="Times New Roman" w:eastAsia="Times New Roman" w:hAnsi="Times New Roman"/>
          <w:sz w:val="19"/>
          <w:szCs w:val="19"/>
        </w:rPr>
        <w:t xml:space="preserve"> The section mappings in the decision tree and evaluation record should be audited. We found one mismatch in the pilot record (Section 8(7) used for a purpose-limitation finding while the retention type uses the same section).</w:t>
      </w:r>
    </w:p>
    <w:p>
      <w:pPr>
        <w:spacing w:after="100" w:before="0" w:line="248"/>
        <w:jc w:val="both"/>
      </w:pPr>
      <w:r>
        <w:rPr>
          <w:rFonts w:ascii="Times New Roman" w:cs="Times New Roman" w:eastAsia="Times New Roman" w:hAnsi="Times New Roman"/>
          <w:b/>
          <w:bCs/>
          <w:sz w:val="19"/>
          <w:szCs w:val="19"/>
        </w:rPr>
        <w:t xml:space="preserve">Statute status.</w:t>
      </w:r>
      <w:r>
        <w:rPr>
          <w:rFonts w:ascii="Times New Roman" w:cs="Times New Roman" w:eastAsia="Times New Roman" w:hAnsi="Times New Roman"/>
          <w:sz w:val="19"/>
          <w:szCs w:val="19"/>
        </w:rPr>
        <w:t xml:space="preserve"> The corpus encodes the 2025 Rules as available when it was built. Provisions that are phased in may still be amended, so the corpus requires a refresh before any release.</w:t>
      </w:r>
    </w:p>
    <w:p>
      <w:pPr>
        <w:spacing w:after="100" w:before="0" w:line="248"/>
        <w:jc w:val="both"/>
      </w:pPr>
      <w:r>
        <w:rPr>
          <w:rFonts w:ascii="Times New Roman" w:cs="Times New Roman" w:eastAsia="Times New Roman" w:hAnsi="Times New Roman"/>
          <w:b/>
          <w:bCs/>
          <w:sz w:val="19"/>
          <w:szCs w:val="19"/>
        </w:rPr>
        <w:t xml:space="preserve">Language.</w:t>
      </w:r>
      <w:r>
        <w:rPr>
          <w:rFonts w:ascii="Times New Roman" w:cs="Times New Roman" w:eastAsia="Times New Roman" w:hAnsi="Times New Roman"/>
          <w:sz w:val="19"/>
          <w:szCs w:val="19"/>
        </w:rPr>
        <w:t xml:space="preserve"> Extraction drops non-Latin lines, so policies and notices in Eighth Schedule languages are not audited. APLiance's own analysis suggests that few if any policies currently provide all-language notices.</w:t>
      </w:r>
    </w:p>
    <w:p>
      <w:pPr>
        <w:spacing w:after="100" w:before="0" w:line="248"/>
        <w:jc w:val="both"/>
      </w:pPr>
      <w:r>
        <w:rPr>
          <w:rFonts w:ascii="Times New Roman" w:cs="Times New Roman" w:eastAsia="Times New Roman" w:hAnsi="Times New Roman"/>
          <w:b/>
          <w:bCs/>
          <w:sz w:val="19"/>
          <w:szCs w:val="19"/>
        </w:rPr>
        <w:t xml:space="preserve">Construct validity of enforcement.</w:t>
      </w:r>
      <w:r>
        <w:rPr>
          <w:rFonts w:ascii="Times New Roman" w:cs="Times New Roman" w:eastAsia="Times New Roman" w:hAnsi="Times New Roman"/>
          <w:sz w:val="19"/>
          <w:szCs w:val="19"/>
        </w:rPr>
        <w:t xml:space="preserve"> A warning is counted as an action by the action-assignment rate but changes nothing on the wire. The blocking-effect rate separates the two, but only study E4 can show whether blocking is correct and tolerable.</w:t>
      </w:r>
    </w:p>
    <w:p>
      <w:pPr>
        <w:spacing w:after="100" w:before="0" w:line="248"/>
        <w:jc w:val="both"/>
      </w:pPr>
      <w:r>
        <w:rPr>
          <w:rFonts w:ascii="Times New Roman" w:cs="Times New Roman" w:eastAsia="Times New Roman" w:hAnsi="Times New Roman"/>
          <w:b/>
          <w:bCs/>
          <w:sz w:val="19"/>
          <w:szCs w:val="19"/>
        </w:rPr>
        <w:t xml:space="preserve">Legal status.</w:t>
      </w:r>
      <w:r>
        <w:rPr>
          <w:rFonts w:ascii="Times New Roman" w:cs="Times New Roman" w:eastAsia="Times New Roman" w:hAnsi="Times New Roman"/>
          <w:sz w:val="19"/>
          <w:szCs w:val="19"/>
        </w:rPr>
        <w:t xml:space="preserve"> Ssense supports a reader's understanding. Its output is not legal advice and is not a determination by the Data Protection Board or a court.</w:t>
      </w:r>
    </w:p>
    <w:p>
      <w:pPr>
        <w:pStyle w:val="Heading1"/>
        <w:keepNext/>
        <w:spacing w:after="110" w:before="260"/>
        <w:jc w:val="center"/>
      </w:pPr>
      <w:r>
        <w:rPr>
          <w:rFonts w:ascii="Times New Roman" w:cs="Times New Roman" w:eastAsia="Times New Roman" w:hAnsi="Times New Roman"/>
          <w:sz w:val="20"/>
          <w:szCs w:val="20"/>
        </w:rPr>
        <w:t xml:space="preserve">XI. ETHICAL, LEGAL AND PRIVACY CONSIDERATIONS</w:t>
      </w:r>
    </w:p>
    <w:p>
      <w:pPr>
        <w:spacing w:after="100" w:before="0" w:line="248"/>
        <w:jc w:val="both"/>
      </w:pPr>
      <w:r>
        <w:rPr>
          <w:rFonts w:ascii="Times New Roman" w:cs="Times New Roman" w:eastAsia="Times New Roman" w:hAnsi="Times New Roman"/>
          <w:b/>
          <w:bCs/>
          <w:sz w:val="19"/>
          <w:szCs w:val="19"/>
        </w:rPr>
        <w:t xml:space="preserve">Data handling.</w:t>
      </w:r>
      <w:r>
        <w:rPr>
          <w:rFonts w:ascii="Times New Roman" w:cs="Times New Roman" w:eastAsia="Times New Roman" w:hAnsi="Times New Roman"/>
          <w:sz w:val="19"/>
          <w:szCs w:val="19"/>
        </w:rPr>
        <w:t xml:space="preserve"> The extension transmits a domain and a policy URL, not page text, and the server stores a hash and the audit JSON, not the policy text. Users' browsing history stays in local IndexedDB and is synchronised only when the user signs in, and then through signed requests. The audit store holds results keyed by domain, not by person.</w:t>
      </w:r>
    </w:p>
    <w:p>
      <w:pPr>
        <w:spacing w:after="100" w:before="0" w:line="248"/>
        <w:jc w:val="both"/>
      </w:pPr>
      <w:r>
        <w:rPr>
          <w:rFonts w:ascii="Times New Roman" w:cs="Times New Roman" w:eastAsia="Times New Roman" w:hAnsi="Times New Roman"/>
          <w:b/>
          <w:bCs/>
          <w:sz w:val="19"/>
          <w:szCs w:val="19"/>
        </w:rPr>
        <w:t xml:space="preserve">Transparency to users.</w:t>
      </w:r>
      <w:r>
        <w:rPr>
          <w:rFonts w:ascii="Times New Roman" w:cs="Times New Roman" w:eastAsia="Times New Roman" w:hAnsi="Times New Roman"/>
          <w:sz w:val="19"/>
          <w:szCs w:val="19"/>
        </w:rPr>
        <w:t xml:space="preserve"> Every action taken on a user's behalf is visible in the sidepanel with its evidence quote, the cited section and the model's reasoning. Users can whitelist a site and remove any rule. This matters because enforcement acts on the user's browser, and acting on a mistaken finding would be harmful.</w:t>
      </w:r>
    </w:p>
    <w:p>
      <w:pPr>
        <w:spacing w:after="100" w:before="0" w:line="248"/>
        <w:jc w:val="both"/>
      </w:pPr>
      <w:r>
        <w:rPr>
          <w:rFonts w:ascii="Times New Roman" w:cs="Times New Roman" w:eastAsia="Times New Roman" w:hAnsi="Times New Roman"/>
          <w:b/>
          <w:bCs/>
          <w:sz w:val="19"/>
          <w:szCs w:val="19"/>
        </w:rPr>
        <w:t xml:space="preserve">Fairness to fiduciaries.</w:t>
      </w:r>
      <w:r>
        <w:rPr>
          <w:rFonts w:ascii="Times New Roman" w:cs="Times New Roman" w:eastAsia="Times New Roman" w:hAnsi="Times New Roman"/>
          <w:sz w:val="19"/>
          <w:szCs w:val="19"/>
        </w:rPr>
        <w:t xml:space="preserve"> An automated accusation can harm an organisation's reputation. The omission gate, the evidence-quote requirement and the choice to present findings as audit results, and not as legal judgements, are meant to limit unfair findings. We recommend that any published audit be accompanied by the evidence quote and the policy version hash so the fiduciary can respond.</w:t>
      </w:r>
    </w:p>
    <w:p>
      <w:pPr>
        <w:spacing w:after="100" w:before="0" w:line="248"/>
        <w:jc w:val="both"/>
      </w:pPr>
      <w:r>
        <w:rPr>
          <w:rFonts w:ascii="Times New Roman" w:cs="Times New Roman" w:eastAsia="Times New Roman" w:hAnsi="Times New Roman"/>
          <w:b/>
          <w:bCs/>
          <w:sz w:val="19"/>
          <w:szCs w:val="19"/>
        </w:rPr>
        <w:t xml:space="preserve">Dual use.</w:t>
      </w:r>
      <w:r>
        <w:rPr>
          <w:rFonts w:ascii="Times New Roman" w:cs="Times New Roman" w:eastAsia="Times New Roman" w:hAnsi="Times New Roman"/>
          <w:sz w:val="19"/>
          <w:szCs w:val="19"/>
        </w:rPr>
        <w:t xml:space="preserve"> Anti-fingerprinting techniques that protect users can also be used to evade legitimate fraud detection. Ssense applies them only on sites with a confirmed finding of a relevant type, and the user can disable them.</w:t>
      </w:r>
    </w:p>
    <w:p>
      <w:pPr>
        <w:spacing w:after="100" w:before="0" w:line="248"/>
        <w:jc w:val="both"/>
      </w:pPr>
      <w:r>
        <w:rPr>
          <w:rFonts w:ascii="Times New Roman" w:cs="Times New Roman" w:eastAsia="Times New Roman" w:hAnsi="Times New Roman"/>
          <w:b/>
          <w:bCs/>
          <w:sz w:val="19"/>
          <w:szCs w:val="19"/>
        </w:rPr>
        <w:t xml:space="preserve">Evaluation data.</w:t>
      </w:r>
      <w:r>
        <w:rPr>
          <w:rFonts w:ascii="Times New Roman" w:cs="Times New Roman" w:eastAsia="Times New Roman" w:hAnsi="Times New Roman"/>
          <w:sz w:val="19"/>
          <w:szCs w:val="19"/>
        </w:rPr>
        <w:t xml:space="preserve"> The pilot uses public privacy policies of named companies. We recommend anonymising names in any published per-site table if the authors prefer not to appear to single out organisations, as did.</w:t>
      </w:r>
    </w:p>
    <w:p>
      <w:pPr>
        <w:pStyle w:val="Heading1"/>
        <w:keepNext/>
        <w:spacing w:after="110" w:before="260"/>
        <w:jc w:val="center"/>
      </w:pPr>
      <w:r>
        <w:rPr>
          <w:rFonts w:ascii="Times New Roman" w:cs="Times New Roman" w:eastAsia="Times New Roman" w:hAnsi="Times New Roman"/>
          <w:sz w:val="20"/>
          <w:szCs w:val="20"/>
        </w:rPr>
        <w:t xml:space="preserve">XII. CONCLUSION AND FUTURE WORK</w:t>
      </w:r>
    </w:p>
    <w:p>
      <w:pPr>
        <w:spacing w:after="100" w:before="0" w:line="248"/>
        <w:jc w:val="both"/>
      </w:pPr>
      <w:r>
        <w:rPr>
          <w:rFonts w:ascii="Times New Roman" w:cs="Times New Roman" w:eastAsia="Times New Roman" w:hAnsi="Times New Roman"/>
          <w:sz w:val="19"/>
          <w:szCs w:val="19"/>
        </w:rPr>
        <w:t>Ssense is a browser-native system that audits website privacy policies against the DPDP Act with a fine-tuned small language model, a three-step omission gate, a deterministic statutory layer and a path from findings to network-level protection. It extends the earlier DPDP policy checker by adapting the model to the statute, by dropping findings that rest on silence, by acting on its findings and by adding a chatbot. In a ten-policy pilot, the pipeline produced three confirmed violations without fabricated citations or false positives. Because ten sites cannot support accuracy claims, we have set out the certification protocol and eight planned studies that would. Two points in particular need empirical answers: how often the silence-dropping rule hides omissions that matter, and whether blocking actions improve privacy without breaking sites.</w:t>
      </w:r>
    </w:p>
    <w:p>
      <w:pPr>
        <w:spacing w:after="100" w:before="0" w:line="248"/>
        <w:jc w:val="both"/>
      </w:pPr>
      <w:r>
        <w:rPr>
          <w:rFonts w:ascii="Times New Roman" w:cs="Times New Roman" w:eastAsia="Times New Roman" w:hAnsi="Times New Roman"/>
          <w:sz w:val="19"/>
          <w:szCs w:val="19"/>
        </w:rPr>
        <w:t xml:space="preserve">Future work will complete the 18-axis certification on a larger, doubly annotated corpus; run APLiance's attribute-level protocol for a direct comparison; run the ablations; measure breakage and comprehension with users; extend extraction and chat to Eighth Schedule languages; evaluate the GGUF export for local execution; and replace the projected figures for the AGX Thor configuration with measurements.</w:t>
      </w:r>
    </w:p>
    <w:p>
      <w:pPr>
        <w:pStyle w:val="Heading1"/>
        <w:keepNext/>
        <w:spacing w:after="110" w:before="260"/>
        <w:jc w:val="center"/>
      </w:pPr>
      <w:r>
        <w:rPr>
          <w:rFonts w:ascii="Times New Roman" w:cs="Times New Roman" w:eastAsia="Times New Roman" w:hAnsi="Times New Roman"/>
          <w:sz w:val="20"/>
          <w:szCs w:val="20"/>
        </w:rPr>
        <w:t xml:space="preserve">APPENDIX: OUTPUT CONTRACT</w:t>
      </w:r>
    </w:p>
    <w:p>
      <w:pPr>
        <w:spacing w:after="100" w:before="0" w:line="248"/>
        <w:jc w:val="both"/>
      </w:pPr>
      <w:r>
        <w:rPr>
          <w:rFonts w:ascii="Times New Roman" w:cs="Times New Roman" w:eastAsia="Times New Roman" w:hAnsi="Times New Roman"/>
          <w:sz w:val="19"/>
          <w:szCs w:val="19"/>
        </w:rPr>
        <w:t xml:space="preserve">The auditor's JSON output has the following structure. Field names are those of the project schema; example values are placeholders.</w:t>
      </w:r>
    </w:p>
    <w:p>
      <w:pPr>
        <w:spacing w:after="0"/>
        <w:ind w:left="540"/>
      </w:pPr>
      <w:r>
        <w:rPr>
          <w:rFonts w:ascii="Courier New" w:cs="Courier New" w:eastAsia="Courier New" w:hAnsi="Courier New"/>
          <w:sz w:val="17"/>
          <w:szCs w:val="17"/>
        </w:rPr>
        <w:t xml:space="preserve">{</w:t>
      </w:r>
    </w:p>
    <w:p>
      <w:pPr>
        <w:spacing w:after="0"/>
        <w:ind w:left="540"/>
      </w:pPr>
      <w:r>
        <w:rPr>
          <w:rFonts w:ascii="Courier New" w:cs="Courier New" w:eastAsia="Courier New" w:hAnsi="Courier New"/>
          <w:sz w:val="17"/>
          <w:szCs w:val="17"/>
        </w:rPr>
        <w:t xml:space="preserve">  "global_legal_reasoning": "…",</w:t>
      </w:r>
    </w:p>
    <w:p>
      <w:pPr>
        <w:spacing w:after="0"/>
        <w:ind w:left="540"/>
      </w:pPr>
      <w:r>
        <w:rPr>
          <w:rFonts w:ascii="Courier New" w:cs="Courier New" w:eastAsia="Courier New" w:hAnsi="Courier New"/>
          <w:sz w:val="17"/>
          <w:szCs w:val="17"/>
        </w:rPr>
        <w:t xml:space="preserve">  "violations": [</w:t>
      </w:r>
    </w:p>
    <w:p>
      <w:pPr>
        <w:spacing w:after="0"/>
        <w:ind w:left="540"/>
      </w:pPr>
      <w:r>
        <w:rPr>
          <w:rFonts w:ascii="Courier New" w:cs="Courier New" w:eastAsia="Courier New" w:hAnsi="Courier New"/>
          <w:sz w:val="17"/>
          <w:szCs w:val="17"/>
        </w:rPr>
        <w:t xml:space="preserve">    {"type": "&lt;one of 26 enumerated types&gt;",</w:t>
      </w:r>
    </w:p>
    <w:p>
      <w:pPr>
        <w:spacing w:after="0"/>
        <w:ind w:left="540"/>
      </w:pPr>
      <w:r>
        <w:rPr>
          <w:rFonts w:ascii="Courier New" w:cs="Courier New" w:eastAsia="Courier New" w:hAnsi="Courier New"/>
          <w:sz w:val="17"/>
          <w:szCs w:val="17"/>
        </w:rPr>
        <w:t xml:space="preserve">     "step_1_active_claim_analysis": "…",</w:t>
      </w:r>
    </w:p>
    <w:p>
      <w:pPr>
        <w:spacing w:after="0"/>
        <w:ind w:left="540"/>
      </w:pPr>
      <w:r>
        <w:rPr>
          <w:rFonts w:ascii="Courier New" w:cs="Courier New" w:eastAsia="Courier New" w:hAnsi="Courier New"/>
          <w:sz w:val="17"/>
          <w:szCs w:val="17"/>
        </w:rPr>
        <w:t xml:space="preserve">     "step_2_statute_match": "…",</w:t>
      </w:r>
    </w:p>
    <w:p>
      <w:pPr>
        <w:spacing w:after="0"/>
        <w:ind w:left="540"/>
      </w:pPr>
      <w:r>
        <w:rPr>
          <w:rFonts w:ascii="Courier New" w:cs="Courier New" w:eastAsia="Courier New" w:hAnsi="Courier New"/>
          <w:sz w:val="17"/>
          <w:szCs w:val="17"/>
        </w:rPr>
        <w:t xml:space="preserve">     "omission_check": false,</w:t>
      </w:r>
    </w:p>
    <w:p>
      <w:pPr>
        <w:spacing w:after="0"/>
        <w:ind w:left="540"/>
      </w:pPr>
      <w:r>
        <w:rPr>
          <w:rFonts w:ascii="Courier New" w:cs="Courier New" w:eastAsia="Courier New" w:hAnsi="Courier New"/>
          <w:sz w:val="17"/>
          <w:szCs w:val="17"/>
        </w:rPr>
        <w:t xml:space="preserve">     "step_3_semantic_justification": "…",</w:t>
      </w:r>
    </w:p>
    <w:p>
      <w:pPr>
        <w:spacing w:after="0"/>
        <w:ind w:left="540"/>
      </w:pPr>
      <w:r>
        <w:rPr>
          <w:rFonts w:ascii="Courier New" w:cs="Courier New" w:eastAsia="Courier New" w:hAnsi="Courier New"/>
          <w:sz w:val="17"/>
          <w:szCs w:val="17"/>
        </w:rPr>
        <w:t xml:space="preserve">     "evidence_quote": "…", "offending_entities": ["…"],</w:t>
      </w:r>
    </w:p>
    <w:p>
      <w:pPr>
        <w:spacing w:after="0"/>
        <w:ind w:left="540"/>
      </w:pPr>
      <w:r>
        <w:rPr>
          <w:rFonts w:ascii="Courier New" w:cs="Courier New" w:eastAsia="Courier New" w:hAnsi="Courier New"/>
          <w:sz w:val="17"/>
          <w:szCs w:val="17"/>
        </w:rPr>
        <w:t xml:space="preserve">     "network_action": "&lt;one of 5 actions&gt;"}</w:t>
      </w:r>
    </w:p>
    <w:p>
      <w:pPr>
        <w:spacing w:after="0"/>
        <w:ind w:left="540"/>
      </w:pPr>
      <w:r>
        <w:rPr>
          <w:rFonts w:ascii="Courier New" w:cs="Courier New" w:eastAsia="Courier New" w:hAnsi="Courier New"/>
          <w:sz w:val="17"/>
          <w:szCs w:val="17"/>
        </w:rPr>
        <w:t xml:space="preserve">  ],</w:t>
      </w:r>
    </w:p>
    <w:p>
      <w:pPr>
        <w:spacing w:after="0"/>
        <w:ind w:left="540"/>
      </w:pPr>
      <w:r>
        <w:rPr>
          <w:rFonts w:ascii="Courier New" w:cs="Courier New" w:eastAsia="Courier New" w:hAnsi="Courier New"/>
          <w:sz w:val="17"/>
          <w:szCs w:val="17"/>
        </w:rPr>
        <w:t xml:space="preserve">  "dpdp_trust_score": 0-100,</w:t>
      </w:r>
    </w:p>
    <w:p>
      <w:pPr>
        <w:spacing w:after="0"/>
        <w:ind w:left="540"/>
      </w:pPr>
      <w:r>
        <w:rPr>
          <w:rFonts w:ascii="Courier New" w:cs="Courier New" w:eastAsia="Courier New" w:hAnsi="Courier New"/>
          <w:sz w:val="17"/>
          <w:szCs w:val="17"/>
        </w:rPr>
        <w:t xml:space="preserve">  "subtlety_score": 0-100</w:t>
      </w:r>
    </w:p>
    <w:p>
      <w:pPr>
        <w:spacing w:after="0"/>
        <w:ind w:left="540"/>
      </w:pPr>
      <w:r>
        <w:rPr>
          <w:rFonts w:ascii="Courier New" w:cs="Courier New" w:eastAsia="Courier New" w:hAnsi="Courier New"/>
          <w:sz w:val="17"/>
          <w:szCs w:val="17"/>
        </w:rPr>
        <w:t xml:space="preserve">}</w:t>
      </w:r>
    </w:p>
    <w:p>
      <w:pPr>
        <w:spacing w:after="100"/>
      </w:pPr>
    </w:p>
    <w:p>
      <w:pPr>
        <w:spacing w:after="100" w:before="0" w:line="248"/>
        <w:jc w:val="both"/>
      </w:pPr>
      <w:r>
        <w:rPr>
          <w:rFonts w:ascii="Times New Roman" w:cs="Times New Roman" w:eastAsia="Times New Roman" w:hAnsi="Times New Roman"/>
          <w:sz w:val="19"/>
          <w:szCs w:val="19"/>
        </w:rPr>
        <w:t xml:space="preserve">Violations with </w:t>
      </w:r>
      <w:r>
        <w:rPr>
          <w:rFonts w:ascii="Courier New" w:cs="Courier New" w:eastAsia="Courier New" w:hAnsi="Courier New"/>
          <w:sz w:val="17"/>
          <w:szCs w:val="17"/>
        </w:rPr>
        <w:t xml:space="preserve">omission_check</w:t>
      </w:r>
      <w:r>
        <w:rPr>
          <w:rFonts w:ascii="Times New Roman" w:cs="Times New Roman" w:eastAsia="Times New Roman" w:hAnsi="Times New Roman"/>
          <w:sz w:val="19"/>
          <w:szCs w:val="19"/>
        </w:rPr>
        <w:t xml:space="preserve"> set to true are removed before the response is returned. Violation types outside the enumeration and evidence quotes shorter than 20 characters are removed by the post-processor.</w:t>
      </w:r>
    </w:p>
    <w:p>
      <w:pPr>
        <w:pStyle w:val="Heading1"/>
        <w:keepNext/>
        <w:spacing w:after="110" w:before="260"/>
        <w:jc w:val="center"/>
      </w:pPr>
      <w:r>
        <w:rPr>
          <w:rFonts w:ascii="Times New Roman" w:cs="Times New Roman" w:eastAsia="Times New Roman" w:hAnsi="Times New Roman"/>
          <w:sz w:val="20"/>
          <w:szCs w:val="20"/>
        </w:rPr>
        <w:t xml:space="preserve">REFERENCES</w:t>
      </w:r>
    </w:p>
    <w:p>
      <w:pPr>
        <w:tabs>
          <w:tab w:val="left" w:pos="420"/>
        </w:tabs>
        <w:spacing w:after="25" w:line="225"/>
        <w:ind w:left="420" w:hanging="420"/>
        <w:jc w:val="both"/>
      </w:pPr>
      <w:r>
        <w:rPr>
          <w:rFonts w:ascii="Times New Roman" w:cs="Times New Roman" w:eastAsia="Times New Roman" w:hAnsi="Times New Roman"/>
          <w:sz w:val="15"/>
          <w:szCs w:val="15"/>
        </w:rPr>
        <w:t>[1]</w:t>
        <w:tab/>
      </w:r>
      <w:r>
        <w:rPr>
          <w:rFonts w:ascii="Times New Roman" w:cs="Times New Roman" w:eastAsia="Times New Roman" w:hAnsi="Times New Roman"/>
          <w:sz w:val="15"/>
          <w:szCs w:val="15"/>
        </w:rPr>
        <w:t xml:space="preserve">S. A. de Chaves and F. B. V. Benitti, “User-centred privacy and data protection: An overview of current research trends and challenges for the human–computer interaction field,” </w:t>
      </w:r>
      <w:r>
        <w:rPr>
          <w:rFonts w:ascii="Times New Roman" w:cs="Times New Roman" w:eastAsia="Times New Roman" w:hAnsi="Times New Roman"/>
          <w:i/>
          <w:iCs/>
          <w:sz w:val="15"/>
          <w:szCs w:val="15"/>
        </w:rPr>
        <w:t xml:space="preserve">ACM Comput. Surv.</w:t>
      </w:r>
      <w:r>
        <w:rPr>
          <w:rFonts w:ascii="Times New Roman" w:cs="Times New Roman" w:eastAsia="Times New Roman" w:hAnsi="Times New Roman"/>
          <w:sz w:val="15"/>
          <w:szCs w:val="15"/>
        </w:rPr>
        <w:t xml:space="preserve">, vol. 57, no. 7, Art. 176, 2025, doi: 10.1145/3715903.</w:t>
      </w:r>
    </w:p>
    <w:p>
      <w:pPr>
        <w:tabs>
          <w:tab w:val="left" w:pos="420"/>
        </w:tabs>
        <w:spacing w:after="25" w:line="225"/>
        <w:ind w:left="420" w:hanging="420"/>
        <w:jc w:val="both"/>
      </w:pPr>
      <w:r>
        <w:rPr>
          <w:rFonts w:ascii="Times New Roman" w:cs="Times New Roman" w:eastAsia="Times New Roman" w:hAnsi="Times New Roman"/>
          <w:sz w:val="15"/>
          <w:szCs w:val="15"/>
        </w:rPr>
        <w:t>[2]</w:t>
        <w:tab/>
      </w:r>
      <w:r>
        <w:rPr>
          <w:rFonts w:ascii="Times New Roman" w:cs="Times New Roman" w:eastAsia="Times New Roman" w:hAnsi="Times New Roman"/>
          <w:sz w:val="15"/>
          <w:szCs w:val="15"/>
        </w:rPr>
        <w:t xml:space="preserve">M. Dahl, V. Magesh, M. Suzgun, and D. E. Ho, “Large legal fictions: Profiling legal hallucinations in large language models,” </w:t>
      </w:r>
      <w:r>
        <w:rPr>
          <w:rFonts w:ascii="Times New Roman" w:cs="Times New Roman" w:eastAsia="Times New Roman" w:hAnsi="Times New Roman"/>
          <w:i/>
          <w:iCs/>
          <w:sz w:val="15"/>
          <w:szCs w:val="15"/>
        </w:rPr>
        <w:t xml:space="preserve">J. Legal Anal.</w:t>
      </w:r>
      <w:r>
        <w:rPr>
          <w:rFonts w:ascii="Times New Roman" w:cs="Times New Roman" w:eastAsia="Times New Roman" w:hAnsi="Times New Roman"/>
          <w:sz w:val="15"/>
          <w:szCs w:val="15"/>
        </w:rPr>
        <w:t xml:space="preserve">, 2024, doi: 10.1093/jla/laae003.</w:t>
      </w:r>
    </w:p>
    <w:p>
      <w:pPr>
        <w:tabs>
          <w:tab w:val="left" w:pos="420"/>
        </w:tabs>
        <w:spacing w:after="25" w:line="225"/>
        <w:ind w:left="420" w:hanging="420"/>
        <w:jc w:val="both"/>
      </w:pPr>
      <w:r>
        <w:rPr>
          <w:rFonts w:ascii="Times New Roman" w:cs="Times New Roman" w:eastAsia="Times New Roman" w:hAnsi="Times New Roman"/>
          <w:sz w:val="15"/>
          <w:szCs w:val="15"/>
        </w:rPr>
        <w:t>[3]</w:t>
        <w:tab/>
      </w:r>
      <w:r>
        <w:rPr>
          <w:rFonts w:ascii="Times New Roman" w:cs="Times New Roman" w:eastAsia="Times New Roman" w:hAnsi="Times New Roman"/>
          <w:sz w:val="15"/>
          <w:szCs w:val="15"/>
        </w:rPr>
        <w:t xml:space="preserve">R. Ta, R. Salunke, R. A. Rahul, R. Nv, and S. R. Upadhyaya, “Fine-tuning a large language model for the Indian legal system,” in </w:t>
      </w:r>
      <w:r>
        <w:rPr>
          <w:rFonts w:ascii="Times New Roman" w:cs="Times New Roman" w:eastAsia="Times New Roman" w:hAnsi="Times New Roman"/>
          <w:i/>
          <w:iCs/>
          <w:sz w:val="15"/>
          <w:szCs w:val="15"/>
        </w:rPr>
        <w:t xml:space="preserve">Proc. 24th Int. Symp. INFOTEH-JAHORINA</w:t>
      </w:r>
      <w:r>
        <w:rPr>
          <w:rFonts w:ascii="Times New Roman" w:cs="Times New Roman" w:eastAsia="Times New Roman" w:hAnsi="Times New Roman"/>
          <w:sz w:val="15"/>
          <w:szCs w:val="15"/>
        </w:rPr>
        <w:t xml:space="preserve">, 2025, doi: 10.1109/INFOTEH64129.2025.10959207.</w:t>
      </w:r>
    </w:p>
    <w:p>
      <w:pPr>
        <w:tabs>
          <w:tab w:val="left" w:pos="420"/>
        </w:tabs>
        <w:spacing w:after="25" w:line="225"/>
        <w:ind w:left="420" w:hanging="420"/>
        <w:jc w:val="both"/>
      </w:pPr>
      <w:r>
        <w:rPr>
          <w:rFonts w:ascii="Times New Roman" w:cs="Times New Roman" w:eastAsia="Times New Roman" w:hAnsi="Times New Roman"/>
          <w:sz w:val="15"/>
          <w:szCs w:val="15"/>
        </w:rPr>
        <w:t>[4]</w:t>
        <w:tab/>
      </w:r>
      <w:r>
        <w:rPr>
          <w:rFonts w:ascii="Times New Roman" w:cs="Times New Roman" w:eastAsia="Times New Roman" w:hAnsi="Times New Roman"/>
          <w:sz w:val="15"/>
          <w:szCs w:val="15"/>
        </w:rPr>
        <w:t xml:space="preserve">S. Liu, B. Zhao, R. Guo, G. Meng, F. Zhang, and M. Zhang, “Have you been properly notified? Automatic compliance analysis of privacy policy text with GDPR Article 13,” in </w:t>
      </w:r>
      <w:r>
        <w:rPr>
          <w:rFonts w:ascii="Times New Roman" w:cs="Times New Roman" w:eastAsia="Times New Roman" w:hAnsi="Times New Roman"/>
          <w:i/>
          <w:iCs/>
          <w:sz w:val="15"/>
          <w:szCs w:val="15"/>
        </w:rPr>
        <w:t xml:space="preserve">Proc. Web Conf.</w:t>
      </w:r>
      <w:r>
        <w:rPr>
          <w:rFonts w:ascii="Times New Roman" w:cs="Times New Roman" w:eastAsia="Times New Roman" w:hAnsi="Times New Roman"/>
          <w:sz w:val="15"/>
          <w:szCs w:val="15"/>
        </w:rPr>
        <w:t xml:space="preserve">, 2021, doi: 10.1145/3442381.3450022.</w:t>
      </w:r>
    </w:p>
    <w:p>
      <w:pPr>
        <w:tabs>
          <w:tab w:val="left" w:pos="420"/>
        </w:tabs>
        <w:spacing w:after="25" w:line="225"/>
        <w:ind w:left="420" w:hanging="420"/>
        <w:jc w:val="both"/>
      </w:pPr>
      <w:r>
        <w:rPr>
          <w:rFonts w:ascii="Times New Roman" w:cs="Times New Roman" w:eastAsia="Times New Roman" w:hAnsi="Times New Roman"/>
          <w:sz w:val="15"/>
          <w:szCs w:val="15"/>
        </w:rPr>
        <w:t>[5]</w:t>
        <w:tab/>
      </w:r>
      <w:r>
        <w:rPr>
          <w:rFonts w:ascii="Times New Roman" w:cs="Times New Roman" w:eastAsia="Times New Roman" w:hAnsi="Times New Roman"/>
          <w:sz w:val="15"/>
          <w:szCs w:val="15"/>
        </w:rPr>
        <w:t xml:space="preserve">E. Vanezi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“CompLicy: Evaluating the GDPR alignment of privacy policies—A study on web platforms,” in </w:t>
      </w:r>
      <w:r>
        <w:rPr>
          <w:rFonts w:ascii="Times New Roman" w:cs="Times New Roman" w:eastAsia="Times New Roman" w:hAnsi="Times New Roman"/>
          <w:i/>
          <w:iCs/>
          <w:sz w:val="15"/>
          <w:szCs w:val="15"/>
        </w:rPr>
        <w:t xml:space="preserve">Lecture Notes in Business Information Processing</w:t>
      </w:r>
      <w:r>
        <w:rPr>
          <w:rFonts w:ascii="Times New Roman" w:cs="Times New Roman" w:eastAsia="Times New Roman" w:hAnsi="Times New Roman"/>
          <w:sz w:val="15"/>
          <w:szCs w:val="15"/>
        </w:rPr>
        <w:t xml:space="preserve">, 2021, doi: 10.1007/978-3-030-75018-3_10.</w:t>
      </w:r>
    </w:p>
    <w:p>
      <w:pPr>
        <w:tabs>
          <w:tab w:val="left" w:pos="420"/>
        </w:tabs>
        <w:spacing w:after="25" w:line="225"/>
        <w:ind w:left="420" w:hanging="420"/>
        <w:jc w:val="both"/>
      </w:pPr>
      <w:r>
        <w:rPr>
          <w:rFonts w:ascii="Times New Roman" w:cs="Times New Roman" w:eastAsia="Times New Roman" w:hAnsi="Times New Roman"/>
          <w:sz w:val="15"/>
          <w:szCs w:val="15"/>
        </w:rPr>
        <w:t>[6]</w:t>
        <w:tab/>
      </w:r>
      <w:r>
        <w:rPr>
          <w:rFonts w:ascii="Times New Roman" w:cs="Times New Roman" w:eastAsia="Times New Roman" w:hAnsi="Times New Roman"/>
          <w:sz w:val="15"/>
          <w:szCs w:val="15"/>
        </w:rPr>
        <w:t xml:space="preserve">M. B. Musa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“C3PA: An open dataset of expert-annotated and regulation-aware privacy policies to enable scalable regulatory compliance audits,” in </w:t>
      </w:r>
      <w:r>
        <w:rPr>
          <w:rFonts w:ascii="Times New Roman" w:cs="Times New Roman" w:eastAsia="Times New Roman" w:hAnsi="Times New Roman"/>
          <w:i/>
          <w:iCs/>
          <w:sz w:val="15"/>
          <w:szCs w:val="15"/>
        </w:rPr>
        <w:t xml:space="preserve">Proc. Conf. Empirical Methods Natural Lang. Process. (EMNLP)</w:t>
      </w:r>
      <w:r>
        <w:rPr>
          <w:rFonts w:ascii="Times New Roman" w:cs="Times New Roman" w:eastAsia="Times New Roman" w:hAnsi="Times New Roman"/>
          <w:sz w:val="15"/>
          <w:szCs w:val="15"/>
        </w:rPr>
        <w:t xml:space="preserve">, 2024, doi: 10.18653/v1/2024.emnlp-main.217.</w:t>
      </w:r>
    </w:p>
    <w:p>
      <w:pPr>
        <w:tabs>
          <w:tab w:val="left" w:pos="420"/>
        </w:tabs>
        <w:spacing w:after="25" w:line="225"/>
        <w:ind w:left="420" w:hanging="420"/>
        <w:jc w:val="both"/>
      </w:pPr>
      <w:r>
        <w:rPr>
          <w:rFonts w:ascii="Times New Roman" w:cs="Times New Roman" w:eastAsia="Times New Roman" w:hAnsi="Times New Roman"/>
          <w:sz w:val="15"/>
          <w:szCs w:val="15"/>
        </w:rPr>
        <w:t>[7]</w:t>
        <w:tab/>
      </w:r>
      <w:r>
        <w:rPr>
          <w:rFonts w:ascii="Times New Roman" w:cs="Times New Roman" w:eastAsia="Times New Roman" w:hAnsi="Times New Roman"/>
          <w:sz w:val="15"/>
          <w:szCs w:val="15"/>
        </w:rPr>
        <w:t xml:space="preserve">Y. Ling, K. Wang, G. Bai, H. Wang, and J. S. Dong, “Are they toeing the line? Diagnosing privacy compliance violations among browser extensions,” in </w:t>
      </w:r>
      <w:r>
        <w:rPr>
          <w:rFonts w:ascii="Times New Roman" w:cs="Times New Roman" w:eastAsia="Times New Roman" w:hAnsi="Times New Roman"/>
          <w:i/>
          <w:iCs/>
          <w:sz w:val="15"/>
          <w:szCs w:val="15"/>
        </w:rPr>
        <w:t xml:space="preserve">Proc. 37th IEEE/ACM Int. Conf. Automated Softw. Eng. (ASE)</w:t>
      </w:r>
      <w:r>
        <w:rPr>
          <w:rFonts w:ascii="Times New Roman" w:cs="Times New Roman" w:eastAsia="Times New Roman" w:hAnsi="Times New Roman"/>
          <w:sz w:val="15"/>
          <w:szCs w:val="15"/>
        </w:rPr>
        <w:t xml:space="preserve">, 2022, doi: 10.1145/3551349.3560436.</w:t>
      </w:r>
    </w:p>
    <w:p>
      <w:pPr>
        <w:tabs>
          <w:tab w:val="left" w:pos="420"/>
        </w:tabs>
        <w:spacing w:after="25" w:line="225"/>
        <w:ind w:left="420" w:hanging="420"/>
        <w:jc w:val="both"/>
      </w:pPr>
      <w:r>
        <w:rPr>
          <w:rFonts w:ascii="Times New Roman" w:cs="Times New Roman" w:eastAsia="Times New Roman" w:hAnsi="Times New Roman"/>
          <w:sz w:val="15"/>
          <w:szCs w:val="15"/>
        </w:rPr>
        <w:t>[8]</w:t>
        <w:tab/>
      </w:r>
      <w:r>
        <w:rPr>
          <w:rFonts w:ascii="Times New Roman" w:cs="Times New Roman" w:eastAsia="Times New Roman" w:hAnsi="Times New Roman"/>
          <w:sz w:val="15"/>
          <w:szCs w:val="15"/>
        </w:rPr>
        <w:t xml:space="preserve">D. H. Bui, B. Tang, and K. G. Shin, “Detection of inconsistencies in privacy practices of browser extensions,” in </w:t>
      </w:r>
      <w:r>
        <w:rPr>
          <w:rFonts w:ascii="Times New Roman" w:cs="Times New Roman" w:eastAsia="Times New Roman" w:hAnsi="Times New Roman"/>
          <w:i/>
          <w:iCs/>
          <w:sz w:val="15"/>
          <w:szCs w:val="15"/>
        </w:rPr>
        <w:t xml:space="preserve">Proc. IEEE Symp. Secur. Privacy (S&amp;P)</w:t>
      </w:r>
      <w:r>
        <w:rPr>
          <w:rFonts w:ascii="Times New Roman" w:cs="Times New Roman" w:eastAsia="Times New Roman" w:hAnsi="Times New Roman"/>
          <w:sz w:val="15"/>
          <w:szCs w:val="15"/>
        </w:rPr>
        <w:t xml:space="preserve">, 2023, doi: 10.1109/SP46215.2023.10179338.</w:t>
      </w:r>
    </w:p>
    <w:p>
      <w:pPr>
        <w:tabs>
          <w:tab w:val="left" w:pos="420"/>
        </w:tabs>
        <w:spacing w:after="25" w:line="225"/>
        <w:ind w:left="420" w:hanging="420"/>
        <w:jc w:val="both"/>
      </w:pPr>
      <w:r>
        <w:rPr>
          <w:rFonts w:ascii="Times New Roman" w:cs="Times New Roman" w:eastAsia="Times New Roman" w:hAnsi="Times New Roman"/>
          <w:sz w:val="15"/>
          <w:szCs w:val="15"/>
        </w:rPr>
        <w:t>[9]</w:t>
        <w:tab/>
      </w:r>
      <w:r>
        <w:rPr>
          <w:rFonts w:ascii="Times New Roman" w:cs="Times New Roman" w:eastAsia="Times New Roman" w:hAnsi="Times New Roman"/>
          <w:sz w:val="15"/>
          <w:szCs w:val="15"/>
        </w:rPr>
        <w:t xml:space="preserve">Y. Ling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“Essential or excessive? MINDAEXT: Measuring data minimization practices among browser extensions,” in </w:t>
      </w:r>
      <w:r>
        <w:rPr>
          <w:rFonts w:ascii="Times New Roman" w:cs="Times New Roman" w:eastAsia="Times New Roman" w:hAnsi="Times New Roman"/>
          <w:i/>
          <w:iCs/>
          <w:sz w:val="15"/>
          <w:szCs w:val="15"/>
        </w:rPr>
        <w:t xml:space="preserve">Proc. IEEE Int. Conf. Softw. Anal., Evol. Reengineering (SANER)</w:t>
      </w:r>
      <w:r>
        <w:rPr>
          <w:rFonts w:ascii="Times New Roman" w:cs="Times New Roman" w:eastAsia="Times New Roman" w:hAnsi="Times New Roman"/>
          <w:sz w:val="15"/>
          <w:szCs w:val="15"/>
        </w:rPr>
        <w:t xml:space="preserve">, 2024, doi: 10.1109/SANER60148.2024.00104.</w:t>
      </w:r>
    </w:p>
    <w:p>
      <w:pPr>
        <w:tabs>
          <w:tab w:val="left" w:pos="420"/>
        </w:tabs>
        <w:spacing w:after="25" w:line="225"/>
        <w:ind w:left="420" w:hanging="420"/>
        <w:jc w:val="both"/>
      </w:pPr>
      <w:r>
        <w:rPr>
          <w:rFonts w:ascii="Times New Roman" w:cs="Times New Roman" w:eastAsia="Times New Roman" w:hAnsi="Times New Roman"/>
          <w:sz w:val="15"/>
          <w:szCs w:val="15"/>
        </w:rPr>
        <w:t>[10]</w:t>
        <w:tab/>
      </w:r>
      <w:r>
        <w:rPr>
          <w:rFonts w:ascii="Times New Roman" w:cs="Times New Roman" w:eastAsia="Times New Roman" w:hAnsi="Times New Roman"/>
          <w:sz w:val="15"/>
          <w:szCs w:val="15"/>
        </w:rPr>
        <w:t xml:space="preserve">T.-H.-G. Vu and H.-S. Ha, “LLM-based compliance analysis of declared policies and actual cookie usage on websites,” in </w:t>
      </w:r>
      <w:r>
        <w:rPr>
          <w:rFonts w:ascii="Times New Roman" w:cs="Times New Roman" w:eastAsia="Times New Roman" w:hAnsi="Times New Roman"/>
          <w:i/>
          <w:iCs/>
          <w:sz w:val="15"/>
          <w:szCs w:val="15"/>
        </w:rPr>
        <w:t xml:space="preserve">Proc. Int. Conf. Multimedia Anal. Pattern Recognit. (MAPR)</w:t>
      </w:r>
      <w:r>
        <w:rPr>
          <w:rFonts w:ascii="Times New Roman" w:cs="Times New Roman" w:eastAsia="Times New Roman" w:hAnsi="Times New Roman"/>
          <w:sz w:val="15"/>
          <w:szCs w:val="15"/>
        </w:rPr>
        <w:t xml:space="preserve">, 2025, doi: 10.1109/MAPR67746.2025.11133869.</w:t>
      </w:r>
    </w:p>
    <w:p>
      <w:pPr>
        <w:tabs>
          <w:tab w:val="left" w:pos="420"/>
        </w:tabs>
        <w:spacing w:after="25" w:line="225"/>
        <w:ind w:left="420" w:hanging="420"/>
        <w:jc w:val="both"/>
      </w:pPr>
      <w:r>
        <w:rPr>
          <w:rFonts w:ascii="Times New Roman" w:cs="Times New Roman" w:eastAsia="Times New Roman" w:hAnsi="Times New Roman"/>
          <w:sz w:val="15"/>
          <w:szCs w:val="15"/>
        </w:rPr>
        <w:t>[11]</w:t>
        <w:tab/>
      </w:r>
      <w:r>
        <w:rPr>
          <w:rFonts w:ascii="Times New Roman" w:cs="Times New Roman" w:eastAsia="Times New Roman" w:hAnsi="Times New Roman"/>
          <w:sz w:val="15"/>
          <w:szCs w:val="15"/>
        </w:rPr>
        <w:t xml:space="preserve">E. J. Hu, Y. Shen, P. Wallis, Z. Allen-Zhu, Y. Li, S. Wang, L. Wang, and W. Chen, “LoRA: Low-rank adaptation of large language models,” in </w:t>
      </w:r>
      <w:r>
        <w:rPr>
          <w:rFonts w:ascii="Times New Roman" w:cs="Times New Roman" w:eastAsia="Times New Roman" w:hAnsi="Times New Roman"/>
          <w:i/>
          <w:iCs/>
          <w:sz w:val="15"/>
          <w:szCs w:val="15"/>
        </w:rPr>
        <w:t xml:space="preserve">Proc. Int. Conf. Learn. Represent. (ICLR)</w:t>
      </w:r>
      <w:r>
        <w:rPr>
          <w:rFonts w:ascii="Times New Roman" w:cs="Times New Roman" w:eastAsia="Times New Roman" w:hAnsi="Times New Roman"/>
          <w:sz w:val="15"/>
          <w:szCs w:val="15"/>
        </w:rPr>
        <w:t xml:space="preserve">, 2022. [Online]. Available: https://openreview.net/forum?id=nZeVKeeFYf9</w:t>
      </w:r>
    </w:p>
    <w:p>
      <w:pPr>
        <w:tabs>
          <w:tab w:val="left" w:pos="420"/>
        </w:tabs>
        <w:spacing w:after="25" w:line="225"/>
        <w:ind w:left="420" w:hanging="420"/>
        <w:jc w:val="both"/>
      </w:pPr>
      <w:r>
        <w:rPr>
          <w:rFonts w:ascii="Times New Roman" w:cs="Times New Roman" w:eastAsia="Times New Roman" w:hAnsi="Times New Roman"/>
          <w:sz w:val="15"/>
          <w:szCs w:val="15"/>
        </w:rPr>
        <w:t>[12]</w:t>
        <w:tab/>
      </w:r>
      <w:r>
        <w:rPr>
          <w:rFonts w:ascii="Times New Roman" w:cs="Times New Roman" w:eastAsia="Times New Roman" w:hAnsi="Times New Roman"/>
          <w:sz w:val="15"/>
          <w:szCs w:val="15"/>
        </w:rPr>
        <w:t xml:space="preserve">Y. Meng, M. Xia, and D. Chen, “SimPO: Simple preference optimization with a reference-free reward,” in </w:t>
      </w:r>
      <w:r>
        <w:rPr>
          <w:rFonts w:ascii="Times New Roman" w:cs="Times New Roman" w:eastAsia="Times New Roman" w:hAnsi="Times New Roman"/>
          <w:i/>
          <w:iCs/>
          <w:sz w:val="15"/>
          <w:szCs w:val="15"/>
        </w:rPr>
        <w:t xml:space="preserve">Adv. Neural Inf. Process. Syst. (NeurIPS)</w:t>
      </w:r>
      <w:r>
        <w:rPr>
          <w:rFonts w:ascii="Times New Roman" w:cs="Times New Roman" w:eastAsia="Times New Roman" w:hAnsi="Times New Roman"/>
          <w:sz w:val="15"/>
          <w:szCs w:val="15"/>
        </w:rPr>
        <w:t xml:space="preserve">, 2024, doi: 10.5555/3737916.3741862.</w:t>
      </w:r>
    </w:p>
    <w:p>
      <w:pPr>
        <w:tabs>
          <w:tab w:val="left" w:pos="420"/>
        </w:tabs>
        <w:spacing w:after="25" w:line="225"/>
        <w:ind w:left="420" w:hanging="420"/>
        <w:jc w:val="both"/>
      </w:pPr>
      <w:r>
        <w:rPr>
          <w:rFonts w:ascii="Times New Roman" w:cs="Times New Roman" w:eastAsia="Times New Roman" w:hAnsi="Times New Roman"/>
          <w:sz w:val="15"/>
          <w:szCs w:val="15"/>
        </w:rPr>
        <w:t>[13]</w:t>
        <w:tab/>
      </w:r>
      <w:r>
        <w:rPr>
          <w:rFonts w:ascii="Times New Roman" w:cs="Times New Roman" w:eastAsia="Times New Roman" w:hAnsi="Times New Roman"/>
          <w:sz w:val="15"/>
          <w:szCs w:val="15"/>
        </w:rPr>
        <w:t xml:space="preserve">R. Rafailov, A. Sharma, E. Mitchell, C. D. Manning, S. Ermon, and C. Finn, “Direct preference optimization: Your language model is secretly a reward model,” in </w:t>
      </w:r>
      <w:r>
        <w:rPr>
          <w:rFonts w:ascii="Times New Roman" w:cs="Times New Roman" w:eastAsia="Times New Roman" w:hAnsi="Times New Roman"/>
          <w:i/>
          <w:iCs/>
          <w:sz w:val="15"/>
          <w:szCs w:val="15"/>
        </w:rPr>
        <w:t xml:space="preserve">Adv. Neural Inf. Process. Syst. (NeurIPS)</w:t>
      </w:r>
      <w:r>
        <w:rPr>
          <w:rFonts w:ascii="Times New Roman" w:cs="Times New Roman" w:eastAsia="Times New Roman" w:hAnsi="Times New Roman"/>
          <w:sz w:val="15"/>
          <w:szCs w:val="15"/>
        </w:rPr>
        <w:t xml:space="preserve">, vol. 36, 2023. [Online]. Available: https://proceedings.neurips.cc/paper_files/paper/2023/hash/a85b405ed65c6477a4fe8302b5e06ce7-Abstract.html</w:t>
      </w:r>
    </w:p>
    <w:p>
      <w:pPr>
        <w:tabs>
          <w:tab w:val="left" w:pos="420"/>
        </w:tabs>
        <w:spacing w:after="25" w:line="225"/>
        <w:ind w:left="420" w:hanging="420"/>
        <w:jc w:val="both"/>
      </w:pPr>
      <w:r>
        <w:rPr>
          <w:rFonts w:ascii="Times New Roman" w:cs="Times New Roman" w:eastAsia="Times New Roman" w:hAnsi="Times New Roman"/>
          <w:sz w:val="15"/>
          <w:szCs w:val="15"/>
        </w:rPr>
        <w:t>[14]</w:t>
        <w:tab/>
      </w:r>
      <w:r>
        <w:rPr>
          <w:rFonts w:ascii="Times New Roman" w:cs="Times New Roman" w:eastAsia="Times New Roman" w:hAnsi="Times New Roman"/>
          <w:sz w:val="15"/>
          <w:szCs w:val="15"/>
        </w:rPr>
        <w:t xml:space="preserve">H. Xu, A. Sharaf, Y. Chen, W. Tan, L. Shen, B. Van Durme, K. Murray, and Y. J. Kim, “Contrastive preference optimization: Pushing the boundaries of LLM performance in machine translation,” in </w:t>
      </w:r>
      <w:r>
        <w:rPr>
          <w:rFonts w:ascii="Times New Roman" w:cs="Times New Roman" w:eastAsia="Times New Roman" w:hAnsi="Times New Roman"/>
          <w:i/>
          <w:iCs/>
          <w:sz w:val="15"/>
          <w:szCs w:val="15"/>
        </w:rPr>
        <w:t xml:space="preserve">Proc. 41st Int. Conf. Mach. Learn. (ICML)</w:t>
      </w:r>
      <w:r>
        <w:rPr>
          <w:rFonts w:ascii="Times New Roman" w:cs="Times New Roman" w:eastAsia="Times New Roman" w:hAnsi="Times New Roman"/>
          <w:sz w:val="15"/>
          <w:szCs w:val="15"/>
        </w:rPr>
        <w:t xml:space="preserve">, PMLR, vol. 235, 2024, pp. 55204–55224. [Online]. Available: https://proceedings.mlr.press/v235/xu24t.html</w:t>
      </w:r>
    </w:p>
    <w:p>
      <w:pPr>
        <w:tabs>
          <w:tab w:val="left" w:pos="420"/>
        </w:tabs>
        <w:spacing w:after="25" w:line="225"/>
        <w:ind w:left="420" w:hanging="420"/>
        <w:jc w:val="both"/>
      </w:pPr>
      <w:r>
        <w:rPr>
          <w:rFonts w:ascii="Times New Roman" w:cs="Times New Roman" w:eastAsia="Times New Roman" w:hAnsi="Times New Roman"/>
          <w:sz w:val="15"/>
          <w:szCs w:val="15"/>
        </w:rPr>
        <w:t>[15]</w:t>
        <w:tab/>
      </w:r>
      <w:r>
        <w:rPr>
          <w:rFonts w:ascii="Times New Roman" w:cs="Times New Roman" w:eastAsia="Times New Roman" w:hAnsi="Times New Roman"/>
          <w:sz w:val="15"/>
          <w:szCs w:val="15"/>
        </w:rPr>
        <w:t xml:space="preserve">P. Lewis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“Retrieval-augmented generation for knowledge-intensive NLP tasks,” in </w:t>
      </w:r>
      <w:r>
        <w:rPr>
          <w:rFonts w:ascii="Times New Roman" w:cs="Times New Roman" w:eastAsia="Times New Roman" w:hAnsi="Times New Roman"/>
          <w:i/>
          <w:iCs/>
          <w:sz w:val="15"/>
          <w:szCs w:val="15"/>
        </w:rPr>
        <w:t xml:space="preserve">Adv. Neural Inf. Process. Syst. (NeurIPS)</w:t>
      </w:r>
      <w:r>
        <w:rPr>
          <w:rFonts w:ascii="Times New Roman" w:cs="Times New Roman" w:eastAsia="Times New Roman" w:hAnsi="Times New Roman"/>
          <w:sz w:val="15"/>
          <w:szCs w:val="15"/>
        </w:rPr>
        <w:t xml:space="preserve">, 2020.</w:t>
      </w:r>
    </w:p>
    <w:p>
      <w:pPr>
        <w:tabs>
          <w:tab w:val="left" w:pos="420"/>
        </w:tabs>
        <w:spacing w:after="25" w:line="225"/>
        <w:ind w:left="420" w:hanging="420"/>
        <w:jc w:val="both"/>
      </w:pPr>
      <w:r>
        <w:rPr>
          <w:rFonts w:ascii="Times New Roman" w:cs="Times New Roman" w:eastAsia="Times New Roman" w:hAnsi="Times New Roman"/>
          <w:sz w:val="15"/>
          <w:szCs w:val="15"/>
        </w:rPr>
        <w:t>[16]</w:t>
        <w:tab/>
      </w:r>
      <w:r>
        <w:rPr>
          <w:rFonts w:ascii="Times New Roman" w:cs="Times New Roman" w:eastAsia="Times New Roman" w:hAnsi="Times New Roman"/>
          <w:sz w:val="15"/>
          <w:szCs w:val="15"/>
        </w:rPr>
        <w:t xml:space="preserve">V. Karpukhin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“Dense passage retrieval for open-domain question answering,” in </w:t>
      </w:r>
      <w:r>
        <w:rPr>
          <w:rFonts w:ascii="Times New Roman" w:cs="Times New Roman" w:eastAsia="Times New Roman" w:hAnsi="Times New Roman"/>
          <w:i/>
          <w:iCs/>
          <w:sz w:val="15"/>
          <w:szCs w:val="15"/>
        </w:rPr>
        <w:t xml:space="preserve">Proc. Conf. Empirical Methods Natural Lang. Process. (EMNLP)</w:t>
      </w:r>
      <w:r>
        <w:rPr>
          <w:rFonts w:ascii="Times New Roman" w:cs="Times New Roman" w:eastAsia="Times New Roman" w:hAnsi="Times New Roman"/>
          <w:sz w:val="15"/>
          <w:szCs w:val="15"/>
        </w:rPr>
        <w:t xml:space="preserve">, 2020, doi: 10.18653/v1/2020.emnlp-main.550.</w:t>
      </w:r>
    </w:p>
    <w:p>
      <w:pPr>
        <w:tabs>
          <w:tab w:val="left" w:pos="420"/>
        </w:tabs>
        <w:spacing w:after="25" w:line="225"/>
        <w:ind w:left="420" w:hanging="420"/>
        <w:jc w:val="both"/>
      </w:pPr>
      <w:r>
        <w:rPr>
          <w:rFonts w:ascii="Times New Roman" w:cs="Times New Roman" w:eastAsia="Times New Roman" w:hAnsi="Times New Roman"/>
          <w:sz w:val="15"/>
          <w:szCs w:val="15"/>
        </w:rPr>
        <w:t>[17]</w:t>
        <w:tab/>
      </w:r>
      <w:r>
        <w:rPr>
          <w:rFonts w:ascii="Times New Roman" w:cs="Times New Roman" w:eastAsia="Times New Roman" w:hAnsi="Times New Roman"/>
          <w:sz w:val="15"/>
          <w:szCs w:val="15"/>
        </w:rPr>
        <w:t xml:space="preserve">I. Chalkidis, M. Fergadiotis, P. Malakasiotis, N. Aletras, and I. Androutsopoulos, “LEGAL-BERT: The Muppets straight out of law school,” in </w:t>
      </w:r>
      <w:r>
        <w:rPr>
          <w:rFonts w:ascii="Times New Roman" w:cs="Times New Roman" w:eastAsia="Times New Roman" w:hAnsi="Times New Roman"/>
          <w:i/>
          <w:iCs/>
          <w:sz w:val="15"/>
          <w:szCs w:val="15"/>
        </w:rPr>
        <w:t xml:space="preserve">Findings of the Association for Computational Linguistics: EMNLP 2020</w:t>
      </w:r>
      <w:r>
        <w:rPr>
          <w:rFonts w:ascii="Times New Roman" w:cs="Times New Roman" w:eastAsia="Times New Roman" w:hAnsi="Times New Roman"/>
          <w:sz w:val="15"/>
          <w:szCs w:val="15"/>
        </w:rPr>
        <w:t xml:space="preserve">, 2020, doi: 10.18653/v1/2020.findings-emnlp.261.</w:t>
      </w:r>
    </w:p>
    <w:p>
      <w:pPr>
        <w:tabs>
          <w:tab w:val="left" w:pos="420"/>
        </w:tabs>
        <w:spacing w:after="25" w:line="225"/>
        <w:ind w:left="420" w:hanging="420"/>
        <w:jc w:val="both"/>
      </w:pPr>
      <w:r>
        <w:rPr>
          <w:rFonts w:ascii="Times New Roman" w:cs="Times New Roman" w:eastAsia="Times New Roman" w:hAnsi="Times New Roman"/>
          <w:sz w:val="15"/>
          <w:szCs w:val="15"/>
        </w:rPr>
        <w:t>[18]</w:t>
        <w:tab/>
      </w:r>
      <w:r>
        <w:rPr>
          <w:rFonts w:ascii="Times New Roman" w:cs="Times New Roman" w:eastAsia="Times New Roman" w:hAnsi="Times New Roman"/>
          <w:sz w:val="15"/>
          <w:szCs w:val="15"/>
        </w:rPr>
        <w:t xml:space="preserve">W. Wu and N. Ma, “A study of large language modeling for legal Q&amp;A based on LoRA fine-tuning,” in </w:t>
      </w:r>
      <w:r>
        <w:rPr>
          <w:rFonts w:ascii="Times New Roman" w:cs="Times New Roman" w:eastAsia="Times New Roman" w:hAnsi="Times New Roman"/>
          <w:i/>
          <w:iCs/>
          <w:sz w:val="15"/>
          <w:szCs w:val="15"/>
        </w:rPr>
        <w:t xml:space="preserve">Proc. 2nd Guangdong–Hong Kong–Macao Greater Bay Area Int. Conf. Digital Economy and Artificial Intelligence</w:t>
      </w:r>
      <w:r>
        <w:rPr>
          <w:rFonts w:ascii="Times New Roman" w:cs="Times New Roman" w:eastAsia="Times New Roman" w:hAnsi="Times New Roman"/>
          <w:sz w:val="15"/>
          <w:szCs w:val="15"/>
        </w:rPr>
        <w:t xml:space="preserve">, 2025, doi: 10.1145/3745238.3745281.</w:t>
      </w:r>
    </w:p>
    <w:p>
      <w:pPr>
        <w:tabs>
          <w:tab w:val="left" w:pos="420"/>
        </w:tabs>
        <w:spacing w:after="25" w:line="225"/>
        <w:ind w:left="420" w:hanging="420"/>
        <w:jc w:val="both"/>
      </w:pPr>
      <w:r>
        <w:rPr>
          <w:rFonts w:ascii="Times New Roman" w:cs="Times New Roman" w:eastAsia="Times New Roman" w:hAnsi="Times New Roman"/>
          <w:sz w:val="15"/>
          <w:szCs w:val="15"/>
        </w:rPr>
        <w:t>[19]</w:t>
        <w:tab/>
      </w:r>
      <w:r>
        <w:rPr>
          <w:rFonts w:ascii="Times New Roman" w:cs="Times New Roman" w:eastAsia="Times New Roman" w:hAnsi="Times New Roman"/>
          <w:sz w:val="15"/>
          <w:szCs w:val="15"/>
        </w:rPr>
        <w:t xml:space="preserve">J. Niklaus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“LawInstruct: A resource for studying language model adaptation to the legal domain,” in </w:t>
      </w:r>
      <w:r>
        <w:rPr>
          <w:rFonts w:ascii="Times New Roman" w:cs="Times New Roman" w:eastAsia="Times New Roman" w:hAnsi="Times New Roman"/>
          <w:i/>
          <w:iCs/>
          <w:sz w:val="15"/>
          <w:szCs w:val="15"/>
        </w:rPr>
        <w:t xml:space="preserve">Findings of the Association for Computational Linguistics: NAACL 2025</w:t>
      </w:r>
      <w:r>
        <w:rPr>
          <w:rFonts w:ascii="Times New Roman" w:cs="Times New Roman" w:eastAsia="Times New Roman" w:hAnsi="Times New Roman"/>
          <w:sz w:val="15"/>
          <w:szCs w:val="15"/>
        </w:rPr>
        <w:t xml:space="preserve">, 2025, doi: 10.18653/v1/2025.findings-naacl.7.</w:t>
      </w:r>
    </w:p>
    <w:p>
      <w:pPr>
        <w:tabs>
          <w:tab w:val="left" w:pos="420"/>
        </w:tabs>
        <w:spacing w:after="25" w:line="225"/>
        <w:ind w:left="420" w:hanging="420"/>
        <w:jc w:val="both"/>
      </w:pPr>
      <w:r>
        <w:rPr>
          <w:rFonts w:ascii="Times New Roman" w:cs="Times New Roman" w:eastAsia="Times New Roman" w:hAnsi="Times New Roman"/>
          <w:sz w:val="15"/>
          <w:szCs w:val="15"/>
        </w:rPr>
        <w:t>[20]</w:t>
        <w:tab/>
      </w:r>
      <w:r>
        <w:rPr>
          <w:rFonts w:ascii="Times New Roman" w:cs="Times New Roman" w:eastAsia="Times New Roman" w:hAnsi="Times New Roman"/>
          <w:sz w:val="15"/>
          <w:szCs w:val="15"/>
        </w:rPr>
        <w:t xml:space="preserve">R. Shui, Y. Cao, X. Wang, and T.-S. Chua, “A comprehensive evaluation of large language models on legal judgment prediction,” in </w:t>
      </w:r>
      <w:r>
        <w:rPr>
          <w:rFonts w:ascii="Times New Roman" w:cs="Times New Roman" w:eastAsia="Times New Roman" w:hAnsi="Times New Roman"/>
          <w:i/>
          <w:iCs/>
          <w:sz w:val="15"/>
          <w:szCs w:val="15"/>
        </w:rPr>
        <w:t xml:space="preserve">Findings of the Association for Computational Linguistics: EMNLP 2023</w:t>
      </w:r>
      <w:r>
        <w:rPr>
          <w:rFonts w:ascii="Times New Roman" w:cs="Times New Roman" w:eastAsia="Times New Roman" w:hAnsi="Times New Roman"/>
          <w:sz w:val="15"/>
          <w:szCs w:val="15"/>
        </w:rPr>
        <w:t xml:space="preserve">, 2023. [Online]. Available: https://aclanthology.org/2023.findings-emnlp.490/</w:t>
      </w:r>
    </w:p>
    <w:p>
      <w:pPr>
        <w:tabs>
          <w:tab w:val="left" w:pos="420"/>
        </w:tabs>
        <w:spacing w:after="25" w:line="225"/>
        <w:ind w:left="420" w:hanging="420"/>
        <w:jc w:val="both"/>
      </w:pPr>
      <w:r>
        <w:rPr>
          <w:rFonts w:ascii="Times New Roman" w:cs="Times New Roman" w:eastAsia="Times New Roman" w:hAnsi="Times New Roman"/>
          <w:sz w:val="15"/>
          <w:szCs w:val="15"/>
        </w:rPr>
        <w:t>[21]</w:t>
        <w:tab/>
      </w:r>
      <w:r>
        <w:rPr>
          <w:rFonts w:ascii="Times New Roman" w:cs="Times New Roman" w:eastAsia="Times New Roman" w:hAnsi="Times New Roman"/>
          <w:sz w:val="15"/>
          <w:szCs w:val="15"/>
        </w:rPr>
        <w:t xml:space="preserve">A. Louis, G. van Dijck, and G. Spanakis, “Interpretable long-form legal question answering with retrieval-augmented large language models,” in </w:t>
      </w:r>
      <w:r>
        <w:rPr>
          <w:rFonts w:ascii="Times New Roman" w:cs="Times New Roman" w:eastAsia="Times New Roman" w:hAnsi="Times New Roman"/>
          <w:i/>
          <w:iCs/>
          <w:sz w:val="15"/>
          <w:szCs w:val="15"/>
        </w:rPr>
        <w:t xml:space="preserve">Proc. AAAI Conf. Artif. Intell.</w:t>
      </w:r>
      <w:r>
        <w:rPr>
          <w:rFonts w:ascii="Times New Roman" w:cs="Times New Roman" w:eastAsia="Times New Roman" w:hAnsi="Times New Roman"/>
          <w:sz w:val="15"/>
          <w:szCs w:val="15"/>
        </w:rPr>
        <w:t xml:space="preserve">, vol. 38, 2024, doi: 10.1609/aaai.v38i20.30232.</w:t>
      </w:r>
    </w:p>
    <w:p>
      <w:pPr>
        <w:tabs>
          <w:tab w:val="left" w:pos="420"/>
        </w:tabs>
        <w:spacing w:after="25" w:line="225"/>
        <w:ind w:left="420" w:hanging="420"/>
        <w:jc w:val="both"/>
      </w:pPr>
      <w:r>
        <w:rPr>
          <w:rFonts w:ascii="Times New Roman" w:cs="Times New Roman" w:eastAsia="Times New Roman" w:hAnsi="Times New Roman"/>
          <w:sz w:val="15"/>
          <w:szCs w:val="15"/>
        </w:rPr>
        <w:t>[22]</w:t>
        <w:tab/>
      </w:r>
      <w:r>
        <w:rPr>
          <w:rFonts w:ascii="Times New Roman" w:cs="Times New Roman" w:eastAsia="Times New Roman" w:hAnsi="Times New Roman"/>
          <w:sz w:val="15"/>
          <w:szCs w:val="15"/>
        </w:rPr>
        <w:t xml:space="preserve">Y. Wang, Y. Kordi, S. Mishra, A. Liu, N. A. Smith, D. Khashabi, and H. Hajishirzi, “Self-Instruct: Aligning language models with self-generated instructions,” in </w:t>
      </w:r>
      <w:r>
        <w:rPr>
          <w:rFonts w:ascii="Times New Roman" w:cs="Times New Roman" w:eastAsia="Times New Roman" w:hAnsi="Times New Roman"/>
          <w:i/>
          <w:iCs/>
          <w:sz w:val="15"/>
          <w:szCs w:val="15"/>
        </w:rPr>
        <w:t xml:space="preserve">Proc. 61st Annu. Meeting Assoc. Comput. Linguistics (ACL)</w:t>
      </w:r>
      <w:r>
        <w:rPr>
          <w:rFonts w:ascii="Times New Roman" w:cs="Times New Roman" w:eastAsia="Times New Roman" w:hAnsi="Times New Roman"/>
          <w:sz w:val="15"/>
          <w:szCs w:val="15"/>
        </w:rPr>
        <w:t xml:space="preserve">, 2023, pp. 13484–13508, doi: 10.18653/v1/2023.acl-long.754.</w:t>
      </w:r>
    </w:p>
    <w:p>
      <w:pPr>
        <w:tabs>
          <w:tab w:val="left" w:pos="420"/>
        </w:tabs>
        <w:spacing w:after="25" w:line="225"/>
        <w:ind w:left="420" w:hanging="420"/>
        <w:jc w:val="both"/>
      </w:pPr>
      <w:r>
        <w:rPr>
          <w:rFonts w:ascii="Times New Roman" w:cs="Times New Roman" w:eastAsia="Times New Roman" w:hAnsi="Times New Roman"/>
          <w:sz w:val="15"/>
          <w:szCs w:val="15"/>
        </w:rPr>
        <w:t>[23]</w:t>
        <w:tab/>
      </w:r>
      <w:r>
        <w:rPr>
          <w:rFonts w:ascii="Times New Roman" w:cs="Times New Roman" w:eastAsia="Times New Roman" w:hAnsi="Times New Roman"/>
          <w:sz w:val="15"/>
          <w:szCs w:val="15"/>
        </w:rPr>
        <w:t xml:space="preserve">M. Nadăş, L. Dioşan, and A. Tomescu, “Synthetic data generation using large language models: Advances in text and code,” </w:t>
      </w:r>
      <w:r>
        <w:rPr>
          <w:rFonts w:ascii="Times New Roman" w:cs="Times New Roman" w:eastAsia="Times New Roman" w:hAnsi="Times New Roman"/>
          <w:i/>
          <w:iCs/>
          <w:sz w:val="15"/>
          <w:szCs w:val="15"/>
        </w:rPr>
        <w:t xml:space="preserve">IEEE Access</w:t>
      </w:r>
      <w:r>
        <w:rPr>
          <w:rFonts w:ascii="Times New Roman" w:cs="Times New Roman" w:eastAsia="Times New Roman" w:hAnsi="Times New Roman"/>
          <w:sz w:val="15"/>
          <w:szCs w:val="15"/>
        </w:rPr>
        <w:t xml:space="preserve">, 2025, doi: 10.1109/ACCESS.2025.3589503.</w:t>
      </w:r>
    </w:p>
    <w:p>
      <w:pPr>
        <w:tabs>
          <w:tab w:val="left" w:pos="420"/>
        </w:tabs>
        <w:spacing w:after="25" w:line="225"/>
        <w:ind w:left="420" w:hanging="420"/>
        <w:jc w:val="both"/>
      </w:pPr>
      <w:r>
        <w:rPr>
          <w:rFonts w:ascii="Times New Roman" w:cs="Times New Roman" w:eastAsia="Times New Roman" w:hAnsi="Times New Roman"/>
          <w:sz w:val="15"/>
          <w:szCs w:val="15"/>
        </w:rPr>
        <w:t>[24]</w:t>
        <w:tab/>
      </w:r>
      <w:r>
        <w:rPr>
          <w:rFonts w:ascii="Times New Roman" w:cs="Times New Roman" w:eastAsia="Times New Roman" w:hAnsi="Times New Roman"/>
          <w:sz w:val="15"/>
          <w:szCs w:val="15"/>
        </w:rPr>
        <w:t xml:space="preserve">P. Italiani, G. Moro, and L. Ragazzi, “Enhancing legal question answering with data generation and knowledge distillation from large language models,” </w:t>
      </w:r>
      <w:r>
        <w:rPr>
          <w:rFonts w:ascii="Times New Roman" w:cs="Times New Roman" w:eastAsia="Times New Roman" w:hAnsi="Times New Roman"/>
          <w:i/>
          <w:iCs/>
          <w:sz w:val="15"/>
          <w:szCs w:val="15"/>
        </w:rPr>
        <w:t xml:space="preserve">Artif. Intell. Law</w:t>
      </w:r>
      <w:r>
        <w:rPr>
          <w:rFonts w:ascii="Times New Roman" w:cs="Times New Roman" w:eastAsia="Times New Roman" w:hAnsi="Times New Roman"/>
          <w:sz w:val="15"/>
          <w:szCs w:val="15"/>
        </w:rPr>
        <w:t xml:space="preserve">, 2025, doi: 10.1007/s10506-025-09463-9.</w:t>
      </w:r>
    </w:p>
    <w:p>
      <w:pPr>
        <w:tabs>
          <w:tab w:val="left" w:pos="420"/>
        </w:tabs>
        <w:spacing w:after="25" w:line="225"/>
        <w:ind w:left="420" w:hanging="420"/>
        <w:jc w:val="both"/>
      </w:pPr>
      <w:r>
        <w:rPr>
          <w:rFonts w:ascii="Times New Roman" w:cs="Times New Roman" w:eastAsia="Times New Roman" w:hAnsi="Times New Roman"/>
          <w:sz w:val="15"/>
          <w:szCs w:val="15"/>
        </w:rPr>
        <w:t>[25]</w:t>
        <w:tab/>
      </w:r>
      <w:r>
        <w:rPr>
          <w:rFonts w:ascii="Times New Roman" w:cs="Times New Roman" w:eastAsia="Times New Roman" w:hAnsi="Times New Roman"/>
          <w:sz w:val="15"/>
          <w:szCs w:val="15"/>
        </w:rPr>
        <w:t xml:space="preserve">Y. Liu, D. Iter, Y. Xu, S. Wang, R. Xu, and C. Zhu, “G-Eval: NLG evaluation using GPT-4 with better human alignment,” in </w:t>
      </w:r>
      <w:r>
        <w:rPr>
          <w:rFonts w:ascii="Times New Roman" w:cs="Times New Roman" w:eastAsia="Times New Roman" w:hAnsi="Times New Roman"/>
          <w:i/>
          <w:iCs/>
          <w:sz w:val="15"/>
          <w:szCs w:val="15"/>
        </w:rPr>
        <w:t xml:space="preserve">Proc. Conf. Empirical Methods Natural Lang. Process. (EMNLP)</w:t>
      </w:r>
      <w:r>
        <w:rPr>
          <w:rFonts w:ascii="Times New Roman" w:cs="Times New Roman" w:eastAsia="Times New Roman" w:hAnsi="Times New Roman"/>
          <w:sz w:val="15"/>
          <w:szCs w:val="15"/>
        </w:rPr>
        <w:t xml:space="preserve">, 2023, doi: 10.18653/v1/2023.emnlp-main.153.</w:t>
      </w:r>
    </w:p>
    <w:p>
      <w:pPr>
        <w:tabs>
          <w:tab w:val="left" w:pos="420"/>
        </w:tabs>
        <w:spacing w:after="25" w:line="225"/>
        <w:ind w:left="420" w:hanging="420"/>
        <w:jc w:val="both"/>
      </w:pPr>
      <w:r>
        <w:rPr>
          <w:rFonts w:ascii="Times New Roman" w:cs="Times New Roman" w:eastAsia="Times New Roman" w:hAnsi="Times New Roman"/>
          <w:sz w:val="15"/>
          <w:szCs w:val="15"/>
        </w:rPr>
        <w:t>[26]</w:t>
        <w:tab/>
      </w:r>
      <w:r>
        <w:rPr>
          <w:rFonts w:ascii="Times New Roman" w:cs="Times New Roman" w:eastAsia="Times New Roman" w:hAnsi="Times New Roman"/>
          <w:sz w:val="15"/>
          <w:szCs w:val="15"/>
        </w:rPr>
        <w:t xml:space="preserve">S. Kim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“Prometheus: Inducing fine-grained evaluation capability in language models,” in </w:t>
      </w:r>
      <w:r>
        <w:rPr>
          <w:rFonts w:ascii="Times New Roman" w:cs="Times New Roman" w:eastAsia="Times New Roman" w:hAnsi="Times New Roman"/>
          <w:i/>
          <w:iCs/>
          <w:sz w:val="15"/>
          <w:szCs w:val="15"/>
        </w:rPr>
        <w:t xml:space="preserve">Proc. Int. Conf. Learn. Represent. (ICLR)</w:t>
      </w:r>
      <w:r>
        <w:rPr>
          <w:rFonts w:ascii="Times New Roman" w:cs="Times New Roman" w:eastAsia="Times New Roman" w:hAnsi="Times New Roman"/>
          <w:sz w:val="15"/>
          <w:szCs w:val="15"/>
        </w:rPr>
        <w:t xml:space="preserve">, 2024.</w:t>
      </w:r>
    </w:p>
    <w:p>
      <w:pPr>
        <w:tabs>
          <w:tab w:val="left" w:pos="420"/>
        </w:tabs>
        <w:spacing w:after="25" w:line="225"/>
        <w:ind w:left="420" w:hanging="420"/>
        <w:jc w:val="both"/>
      </w:pPr>
      <w:r>
        <w:rPr>
          <w:rFonts w:ascii="Times New Roman" w:cs="Times New Roman" w:eastAsia="Times New Roman" w:hAnsi="Times New Roman"/>
          <w:sz w:val="15"/>
          <w:szCs w:val="15"/>
        </w:rPr>
        <w:t>[27]</w:t>
        <w:tab/>
      </w:r>
      <w:r>
        <w:rPr>
          <w:rFonts w:ascii="Times New Roman" w:cs="Times New Roman" w:eastAsia="Times New Roman" w:hAnsi="Times New Roman"/>
          <w:sz w:val="15"/>
          <w:szCs w:val="15"/>
        </w:rPr>
        <w:t xml:space="preserve">I. Shumailov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“AI models collapse when trained on recursively generated data,” </w:t>
      </w:r>
      <w:r>
        <w:rPr>
          <w:rFonts w:ascii="Times New Roman" w:cs="Times New Roman" w:eastAsia="Times New Roman" w:hAnsi="Times New Roman"/>
          <w:i/>
          <w:iCs/>
          <w:sz w:val="15"/>
          <w:szCs w:val="15"/>
        </w:rPr>
        <w:t xml:space="preserve">Nature</w:t>
      </w:r>
      <w:r>
        <w:rPr>
          <w:rFonts w:ascii="Times New Roman" w:cs="Times New Roman" w:eastAsia="Times New Roman" w:hAnsi="Times New Roman"/>
          <w:sz w:val="15"/>
          <w:szCs w:val="15"/>
        </w:rPr>
        <w:t xml:space="preserve">, 2024, doi: 10.1038/s41586-024-07566-y.</w:t>
      </w:r>
    </w:p>
    <w:p>
      <w:pPr>
        <w:tabs>
          <w:tab w:val="left" w:pos="420"/>
        </w:tabs>
        <w:spacing w:after="25" w:line="225"/>
        <w:ind w:left="420" w:hanging="420"/>
        <w:jc w:val="both"/>
      </w:pPr>
      <w:r>
        <w:rPr>
          <w:rFonts w:ascii="Times New Roman" w:cs="Times New Roman" w:eastAsia="Times New Roman" w:hAnsi="Times New Roman"/>
          <w:sz w:val="15"/>
          <w:szCs w:val="15"/>
        </w:rPr>
        <w:t>[28]</w:t>
        <w:tab/>
      </w:r>
      <w:r>
        <w:rPr>
          <w:rFonts w:ascii="Times New Roman" w:cs="Times New Roman" w:eastAsia="Times New Roman" w:hAnsi="Times New Roman"/>
          <w:sz w:val="15"/>
          <w:szCs w:val="15"/>
        </w:rPr>
        <w:t xml:space="preserve">X. Chen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“FLAME: Factuality-aware alignment for large language models,” in </w:t>
      </w:r>
      <w:r>
        <w:rPr>
          <w:rFonts w:ascii="Times New Roman" w:cs="Times New Roman" w:eastAsia="Times New Roman" w:hAnsi="Times New Roman"/>
          <w:i/>
          <w:iCs/>
          <w:sz w:val="15"/>
          <w:szCs w:val="15"/>
        </w:rPr>
        <w:t xml:space="preserve">Adv. Neural Inf. Process. Syst. (NeurIPS)</w:t>
      </w:r>
      <w:r>
        <w:rPr>
          <w:rFonts w:ascii="Times New Roman" w:cs="Times New Roman" w:eastAsia="Times New Roman" w:hAnsi="Times New Roman"/>
          <w:sz w:val="15"/>
          <w:szCs w:val="15"/>
        </w:rPr>
        <w:t xml:space="preserve">, vol. 37, 2024.</w:t>
      </w:r>
    </w:p>
    <w:p>
      <w:pPr>
        <w:tabs>
          <w:tab w:val="left" w:pos="420"/>
        </w:tabs>
        <w:spacing w:after="25" w:line="225"/>
        <w:ind w:left="420" w:hanging="420"/>
        <w:jc w:val="both"/>
      </w:pPr>
      <w:r>
        <w:rPr>
          <w:rFonts w:ascii="Times New Roman" w:cs="Times New Roman" w:eastAsia="Times New Roman" w:hAnsi="Times New Roman"/>
          <w:sz w:val="15"/>
          <w:szCs w:val="15"/>
        </w:rPr>
        <w:t>[29]</w:t>
        <w:tab/>
      </w:r>
      <w:r>
        <w:rPr>
          <w:rFonts w:ascii="Times New Roman" w:cs="Times New Roman" w:eastAsia="Times New Roman" w:hAnsi="Times New Roman"/>
          <w:sz w:val="15"/>
          <w:szCs w:val="15"/>
        </w:rPr>
        <w:t xml:space="preserve">O. Khattab and M. Zaharia, “ColBERT: Efficient and effective passage search via contextualized late interaction over BERT,” in </w:t>
      </w:r>
      <w:r>
        <w:rPr>
          <w:rFonts w:ascii="Times New Roman" w:cs="Times New Roman" w:eastAsia="Times New Roman" w:hAnsi="Times New Roman"/>
          <w:i/>
          <w:iCs/>
          <w:sz w:val="15"/>
          <w:szCs w:val="15"/>
        </w:rPr>
        <w:t xml:space="preserve">Proc. 43rd Int. ACM SIGIR Conf. Res. Develop. Inf. Retrieval</w:t>
      </w:r>
      <w:r>
        <w:rPr>
          <w:rFonts w:ascii="Times New Roman" w:cs="Times New Roman" w:eastAsia="Times New Roman" w:hAnsi="Times New Roman"/>
          <w:sz w:val="15"/>
          <w:szCs w:val="15"/>
        </w:rPr>
        <w:t xml:space="preserve">, 2020, doi: 10.1145/3397271.3401075.</w:t>
      </w:r>
    </w:p>
    <w:p>
      <w:pPr>
        <w:tabs>
          <w:tab w:val="left" w:pos="420"/>
        </w:tabs>
        <w:spacing w:after="25" w:line="225"/>
        <w:ind w:left="420" w:hanging="420"/>
        <w:jc w:val="both"/>
      </w:pPr>
      <w:r>
        <w:rPr>
          <w:rFonts w:ascii="Times New Roman" w:cs="Times New Roman" w:eastAsia="Times New Roman" w:hAnsi="Times New Roman"/>
          <w:sz w:val="15"/>
          <w:szCs w:val="15"/>
        </w:rPr>
        <w:t>[30]</w:t>
        <w:tab/>
      </w:r>
      <w:r>
        <w:rPr>
          <w:rFonts w:ascii="Times New Roman" w:cs="Times New Roman" w:eastAsia="Times New Roman" w:hAnsi="Times New Roman"/>
          <w:sz w:val="15"/>
          <w:szCs w:val="15"/>
        </w:rPr>
        <w:t xml:space="preserve">L. Garza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“PrivComp-KG: Leveraging KG and LLM for compliance verification,” in </w:t>
      </w:r>
      <w:r>
        <w:rPr>
          <w:rFonts w:ascii="Times New Roman" w:cs="Times New Roman" w:eastAsia="Times New Roman" w:hAnsi="Times New Roman"/>
          <w:i/>
          <w:iCs/>
          <w:sz w:val="15"/>
          <w:szCs w:val="15"/>
        </w:rPr>
        <w:t xml:space="preserve">Proc. IEEE Int. Conf. Trust, Privacy Secur. Intell. Syst. Appl. (TPS-ISA)</w:t>
      </w:r>
      <w:r>
        <w:rPr>
          <w:rFonts w:ascii="Times New Roman" w:cs="Times New Roman" w:eastAsia="Times New Roman" w:hAnsi="Times New Roman"/>
          <w:sz w:val="15"/>
          <w:szCs w:val="15"/>
        </w:rPr>
        <w:t xml:space="preserve">, 2024, doi: 10.1109/TPS-ISA62245.2024.00021.</w:t>
      </w:r>
    </w:p>
    <w:p>
      <w:pPr>
        <w:tabs>
          <w:tab w:val="left" w:pos="420"/>
        </w:tabs>
        <w:spacing w:after="25" w:line="225"/>
        <w:ind w:left="420" w:hanging="420"/>
        <w:jc w:val="both"/>
      </w:pPr>
      <w:r>
        <w:rPr>
          <w:rFonts w:ascii="Times New Roman" w:cs="Times New Roman" w:eastAsia="Times New Roman" w:hAnsi="Times New Roman"/>
          <w:sz w:val="15"/>
          <w:szCs w:val="15"/>
        </w:rPr>
        <w:t>[31]</w:t>
        <w:tab/>
      </w:r>
      <w:r>
        <w:rPr>
          <w:rFonts w:ascii="Times New Roman" w:cs="Times New Roman" w:eastAsia="Times New Roman" w:hAnsi="Times New Roman"/>
          <w:sz w:val="15"/>
          <w:szCs w:val="15"/>
        </w:rPr>
        <w:t xml:space="preserve">J. Chen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“A privacy policy text compliance reasoning framework with large language models for healthcare services,” </w:t>
      </w:r>
      <w:r>
        <w:rPr>
          <w:rFonts w:ascii="Times New Roman" w:cs="Times New Roman" w:eastAsia="Times New Roman" w:hAnsi="Times New Roman"/>
          <w:i/>
          <w:iCs/>
          <w:sz w:val="15"/>
          <w:szCs w:val="15"/>
        </w:rPr>
        <w:t xml:space="preserve">Tsinghua Sci. Technol.</w:t>
      </w:r>
      <w:r>
        <w:rPr>
          <w:rFonts w:ascii="Times New Roman" w:cs="Times New Roman" w:eastAsia="Times New Roman" w:hAnsi="Times New Roman"/>
          <w:sz w:val="15"/>
          <w:szCs w:val="15"/>
        </w:rPr>
        <w:t xml:space="preserve">, 2025, doi: 10.26599/tst.2024.9010089.</w:t>
      </w:r>
    </w:p>
    <w:p>
      <w:pPr>
        <w:tabs>
          <w:tab w:val="left" w:pos="420"/>
        </w:tabs>
        <w:spacing w:after="25" w:line="225"/>
        <w:ind w:left="420" w:hanging="420"/>
        <w:jc w:val="both"/>
      </w:pPr>
      <w:r>
        <w:rPr>
          <w:rFonts w:ascii="Times New Roman" w:cs="Times New Roman" w:eastAsia="Times New Roman" w:hAnsi="Times New Roman"/>
          <w:sz w:val="15"/>
          <w:szCs w:val="15"/>
        </w:rPr>
        <w:t>[32]</w:t>
        <w:tab/>
      </w:r>
      <w:r>
        <w:rPr>
          <w:rFonts w:ascii="Times New Roman" w:cs="Times New Roman" w:eastAsia="Times New Roman" w:hAnsi="Times New Roman"/>
          <w:sz w:val="15"/>
          <w:szCs w:val="15"/>
        </w:rPr>
        <w:t xml:space="preserve">J. Chanenson, M. Pickering, and N. Apthrope, “Automating governing knowledge commons and contextual integrity privacy policy annotations with large language models,” </w:t>
      </w:r>
      <w:r>
        <w:rPr>
          <w:rFonts w:ascii="Times New Roman" w:cs="Times New Roman" w:eastAsia="Times New Roman" w:hAnsi="Times New Roman"/>
          <w:i/>
          <w:iCs/>
          <w:sz w:val="15"/>
          <w:szCs w:val="15"/>
        </w:rPr>
        <w:t xml:space="preserve">Proc. Privacy Enhancing Technol.</w:t>
      </w:r>
      <w:r>
        <w:rPr>
          <w:rFonts w:ascii="Times New Roman" w:cs="Times New Roman" w:eastAsia="Times New Roman" w:hAnsi="Times New Roman"/>
          <w:sz w:val="15"/>
          <w:szCs w:val="15"/>
        </w:rPr>
        <w:t xml:space="preserve">, 2025, doi: 10.56553/popets-2025-0062.</w:t>
      </w:r>
    </w:p>
    <w:p>
      <w:pPr>
        <w:tabs>
          <w:tab w:val="left" w:pos="420"/>
        </w:tabs>
        <w:spacing w:after="25" w:line="225"/>
        <w:ind w:left="420" w:hanging="420"/>
        <w:jc w:val="both"/>
      </w:pPr>
      <w:r>
        <w:rPr>
          <w:rFonts w:ascii="Times New Roman" w:cs="Times New Roman" w:eastAsia="Times New Roman" w:hAnsi="Times New Roman"/>
          <w:sz w:val="15"/>
          <w:szCs w:val="15"/>
        </w:rPr>
        <w:t>[33]</w:t>
        <w:tab/>
      </w:r>
      <w:r>
        <w:rPr>
          <w:rFonts w:ascii="Times New Roman" w:cs="Times New Roman" w:eastAsia="Times New Roman" w:hAnsi="Times New Roman"/>
          <w:sz w:val="15"/>
          <w:szCs w:val="15"/>
        </w:rPr>
        <w:t xml:space="preserve">T. Cory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“Word-level annotation of GDPR transparency compliance in privacy policies using large language models,” </w:t>
      </w:r>
      <w:r>
        <w:rPr>
          <w:rFonts w:ascii="Times New Roman" w:cs="Times New Roman" w:eastAsia="Times New Roman" w:hAnsi="Times New Roman"/>
          <w:i/>
          <w:iCs/>
          <w:sz w:val="15"/>
          <w:szCs w:val="15"/>
        </w:rPr>
        <w:t xml:space="preserve">Proc. Privacy Enhancing Technol.</w:t>
      </w:r>
      <w:r>
        <w:rPr>
          <w:rFonts w:ascii="Times New Roman" w:cs="Times New Roman" w:eastAsia="Times New Roman" w:hAnsi="Times New Roman"/>
          <w:sz w:val="15"/>
          <w:szCs w:val="15"/>
        </w:rPr>
        <w:t xml:space="preserve">, vol. 2026, no. 1, pp. 509–528, 2026, doi: 10.56553/popets-2026-0026.</w:t>
      </w:r>
    </w:p>
    <w:p>
      <w:pPr>
        <w:tabs>
          <w:tab w:val="left" w:pos="420"/>
        </w:tabs>
        <w:spacing w:after="25" w:line="225"/>
        <w:ind w:left="420" w:hanging="420"/>
        <w:jc w:val="both"/>
      </w:pPr>
      <w:r>
        <w:rPr>
          <w:rFonts w:ascii="Times New Roman" w:cs="Times New Roman" w:eastAsia="Times New Roman" w:hAnsi="Times New Roman"/>
          <w:sz w:val="15"/>
          <w:szCs w:val="15"/>
        </w:rPr>
        <w:t>[34]</w:t>
        <w:tab/>
      </w:r>
      <w:r>
        <w:rPr>
          <w:rFonts w:ascii="Times New Roman" w:cs="Times New Roman" w:eastAsia="Times New Roman" w:hAnsi="Times New Roman"/>
          <w:sz w:val="15"/>
          <w:szCs w:val="15"/>
        </w:rPr>
        <w:t xml:space="preserve">L. Wang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“Privacy policy compliance detection method for mobile application based on large language model,” </w:t>
      </w:r>
      <w:r>
        <w:rPr>
          <w:rFonts w:ascii="Times New Roman" w:cs="Times New Roman" w:eastAsia="Times New Roman" w:hAnsi="Times New Roman"/>
          <w:i/>
          <w:iCs/>
          <w:sz w:val="15"/>
          <w:szCs w:val="15"/>
        </w:rPr>
        <w:t xml:space="preserve">Comput. Sci.</w:t>
      </w:r>
      <w:r>
        <w:rPr>
          <w:rFonts w:ascii="Times New Roman" w:cs="Times New Roman" w:eastAsia="Times New Roman" w:hAnsi="Times New Roman"/>
          <w:sz w:val="15"/>
          <w:szCs w:val="15"/>
        </w:rPr>
        <w:t xml:space="preserve">, 2025, doi: 10.11896/jsjkx.250300156.</w:t>
      </w:r>
    </w:p>
    <w:p>
      <w:pPr>
        <w:tabs>
          <w:tab w:val="left" w:pos="420"/>
        </w:tabs>
        <w:spacing w:after="25" w:line="225"/>
        <w:ind w:left="420" w:hanging="420"/>
        <w:jc w:val="both"/>
      </w:pPr>
      <w:r>
        <w:rPr>
          <w:rFonts w:ascii="Times New Roman" w:cs="Times New Roman" w:eastAsia="Times New Roman" w:hAnsi="Times New Roman"/>
          <w:sz w:val="15"/>
          <w:szCs w:val="15"/>
        </w:rPr>
        <w:t>[35]</w:t>
        <w:tab/>
      </w:r>
      <w:r>
        <w:rPr>
          <w:rFonts w:ascii="Times New Roman" w:cs="Times New Roman" w:eastAsia="Times New Roman" w:hAnsi="Times New Roman"/>
          <w:sz w:val="15"/>
          <w:szCs w:val="15"/>
        </w:rPr>
        <w:t xml:space="preserve">Z. Huang, J. Tang, M. Karir, M. Liu, and A. Sarabi, “Analyzing corporate privacy policies using AI chatbots,” in </w:t>
      </w:r>
      <w:r>
        <w:rPr>
          <w:rFonts w:ascii="Times New Roman" w:cs="Times New Roman" w:eastAsia="Times New Roman" w:hAnsi="Times New Roman"/>
          <w:i/>
          <w:iCs/>
          <w:sz w:val="15"/>
          <w:szCs w:val="15"/>
        </w:rPr>
        <w:t xml:space="preserve">Proc. ACM Internet Measurement Conf. (IMC)</w:t>
      </w:r>
      <w:r>
        <w:rPr>
          <w:rFonts w:ascii="Times New Roman" w:cs="Times New Roman" w:eastAsia="Times New Roman" w:hAnsi="Times New Roman"/>
          <w:sz w:val="15"/>
          <w:szCs w:val="15"/>
        </w:rPr>
        <w:t xml:space="preserve">, 2024, doi: 10.1145/3646547.3689015.</w:t>
      </w:r>
    </w:p>
    <w:p>
      <w:pPr>
        <w:tabs>
          <w:tab w:val="left" w:pos="420"/>
        </w:tabs>
        <w:spacing w:after="25" w:line="225"/>
        <w:ind w:left="420" w:hanging="420"/>
        <w:jc w:val="both"/>
      </w:pPr>
      <w:r>
        <w:rPr>
          <w:rFonts w:ascii="Times New Roman" w:cs="Times New Roman" w:eastAsia="Times New Roman" w:hAnsi="Times New Roman"/>
          <w:sz w:val="15"/>
          <w:szCs w:val="15"/>
        </w:rPr>
        <w:t>[36]</w:t>
        <w:tab/>
      </w:r>
      <w:r>
        <w:rPr>
          <w:rFonts w:ascii="Times New Roman" w:cs="Times New Roman" w:eastAsia="Times New Roman" w:hAnsi="Times New Roman"/>
          <w:sz w:val="15"/>
          <w:szCs w:val="15"/>
        </w:rPr>
        <w:t xml:space="preserve">V. Freiberger, A. Fleig, and E. Buchmann, “You don't need a university degree to comprehend data protection this way: LLM-powered interactive privacy policy assessment,” in </w:t>
      </w:r>
      <w:r>
        <w:rPr>
          <w:rFonts w:ascii="Times New Roman" w:cs="Times New Roman" w:eastAsia="Times New Roman" w:hAnsi="Times New Roman"/>
          <w:i/>
          <w:iCs/>
          <w:sz w:val="15"/>
          <w:szCs w:val="15"/>
        </w:rPr>
        <w:t xml:space="preserve">Ext. Abstracts CHI Conf. Human Factors Comput. Syst.</w:t>
      </w:r>
      <w:r>
        <w:rPr>
          <w:rFonts w:ascii="Times New Roman" w:cs="Times New Roman" w:eastAsia="Times New Roman" w:hAnsi="Times New Roman"/>
          <w:sz w:val="15"/>
          <w:szCs w:val="15"/>
        </w:rPr>
        <w:t xml:space="preserve">, 2025, doi: 10.1145/3706599.3719816.</w:t>
      </w:r>
    </w:p>
    <w:p>
      <w:pPr>
        <w:tabs>
          <w:tab w:val="left" w:pos="420"/>
        </w:tabs>
        <w:spacing w:after="25" w:line="225"/>
        <w:ind w:left="420" w:hanging="420"/>
        <w:jc w:val="both"/>
      </w:pPr>
      <w:r>
        <w:rPr>
          <w:rFonts w:ascii="Times New Roman" w:cs="Times New Roman" w:eastAsia="Times New Roman" w:hAnsi="Times New Roman"/>
          <w:sz w:val="15"/>
          <w:szCs w:val="15"/>
        </w:rPr>
        <w:t>[37]</w:t>
        <w:tab/>
      </w:r>
      <w:r>
        <w:rPr>
          <w:rFonts w:ascii="Times New Roman" w:cs="Times New Roman" w:eastAsia="Times New Roman" w:hAnsi="Times New Roman"/>
          <w:sz w:val="15"/>
          <w:szCs w:val="15"/>
        </w:rPr>
        <w:t xml:space="preserve">S. Alqurashi and I. Ray, “Privacy2Practice: Leveraging automated analysis for privacy policy transparency and compliance,” in </w:t>
      </w:r>
      <w:r>
        <w:rPr>
          <w:rFonts w:ascii="Times New Roman" w:cs="Times New Roman" w:eastAsia="Times New Roman" w:hAnsi="Times New Roman"/>
          <w:i/>
          <w:iCs/>
          <w:sz w:val="15"/>
          <w:szCs w:val="15"/>
        </w:rPr>
        <w:t xml:space="preserve">Proc. Int. Conf. Secur. Cryptography (SECRYPT)</w:t>
      </w:r>
      <w:r>
        <w:rPr>
          <w:rFonts w:ascii="Times New Roman" w:cs="Times New Roman" w:eastAsia="Times New Roman" w:hAnsi="Times New Roman"/>
          <w:sz w:val="15"/>
          <w:szCs w:val="15"/>
        </w:rPr>
        <w:t xml:space="preserve">, 2025, doi: 10.5220/0013518600003979.</w:t>
      </w:r>
    </w:p>
    <w:p>
      <w:pPr>
        <w:tabs>
          <w:tab w:val="left" w:pos="420"/>
        </w:tabs>
        <w:spacing w:after="25" w:line="225"/>
        <w:ind w:left="420" w:hanging="420"/>
        <w:jc w:val="both"/>
      </w:pPr>
      <w:r>
        <w:rPr>
          <w:rFonts w:ascii="Times New Roman" w:cs="Times New Roman" w:eastAsia="Times New Roman" w:hAnsi="Times New Roman"/>
          <w:sz w:val="15"/>
          <w:szCs w:val="15"/>
        </w:rPr>
        <w:t>[38]</w:t>
        <w:tab/>
      </w:r>
      <w:r>
        <w:rPr>
          <w:rFonts w:ascii="Times New Roman" w:cs="Times New Roman" w:eastAsia="Times New Roman" w:hAnsi="Times New Roman"/>
          <w:sz w:val="15"/>
          <w:szCs w:val="15"/>
        </w:rPr>
        <w:t xml:space="preserve">R. N. Zaeem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“PrivacyCheck v3: Empowering users with higher-level understanding of privacy policies,” in </w:t>
      </w:r>
      <w:r>
        <w:rPr>
          <w:rFonts w:ascii="Times New Roman" w:cs="Times New Roman" w:eastAsia="Times New Roman" w:hAnsi="Times New Roman"/>
          <w:i/>
          <w:iCs/>
          <w:sz w:val="15"/>
          <w:szCs w:val="15"/>
        </w:rPr>
        <w:t xml:space="preserve">Proc. ACM Int. Conf. Web Search Data Mining (WSDM)</w:t>
      </w:r>
      <w:r>
        <w:rPr>
          <w:rFonts w:ascii="Times New Roman" w:cs="Times New Roman" w:eastAsia="Times New Roman" w:hAnsi="Times New Roman"/>
          <w:sz w:val="15"/>
          <w:szCs w:val="15"/>
        </w:rPr>
        <w:t xml:space="preserve">, 2022, doi: 10.1145/3488560.3502184.</w:t>
      </w:r>
    </w:p>
    <w:p>
      <w:pPr>
        <w:tabs>
          <w:tab w:val="left" w:pos="420"/>
        </w:tabs>
        <w:spacing w:after="25" w:line="225"/>
        <w:ind w:left="420" w:hanging="420"/>
        <w:jc w:val="both"/>
      </w:pPr>
      <w:r>
        <w:rPr>
          <w:rFonts w:ascii="Times New Roman" w:cs="Times New Roman" w:eastAsia="Times New Roman" w:hAnsi="Times New Roman"/>
          <w:sz w:val="15"/>
          <w:szCs w:val="15"/>
        </w:rPr>
        <w:t>[39]</w:t>
        <w:tab/>
      </w:r>
      <w:r>
        <w:rPr>
          <w:rFonts w:ascii="Times New Roman" w:cs="Times New Roman" w:eastAsia="Times New Roman" w:hAnsi="Times New Roman"/>
          <w:sz w:val="15"/>
          <w:szCs w:val="15"/>
        </w:rPr>
        <w:t xml:space="preserve">K. Greshake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“Not what you've signed up for: Compromising real-world LLM-integrated applications with indirect prompt injection,” in </w:t>
      </w:r>
      <w:r>
        <w:rPr>
          <w:rFonts w:ascii="Times New Roman" w:cs="Times New Roman" w:eastAsia="Times New Roman" w:hAnsi="Times New Roman"/>
          <w:i/>
          <w:iCs/>
          <w:sz w:val="15"/>
          <w:szCs w:val="15"/>
        </w:rPr>
        <w:t xml:space="preserve">Proc. ACM Workshop Artif. Intell. Secur. (AISec)</w:t>
      </w:r>
      <w:r>
        <w:rPr>
          <w:rFonts w:ascii="Times New Roman" w:cs="Times New Roman" w:eastAsia="Times New Roman" w:hAnsi="Times New Roman"/>
          <w:sz w:val="15"/>
          <w:szCs w:val="15"/>
        </w:rPr>
        <w:t xml:space="preserve">, 2023, doi: 10.1145/3605764.3623985.</w:t>
      </w:r>
    </w:p>
    <w:p>
      <w:pPr>
        <w:tabs>
          <w:tab w:val="left" w:pos="420"/>
        </w:tabs>
        <w:spacing w:after="25" w:line="225"/>
        <w:ind w:left="420" w:hanging="420"/>
        <w:jc w:val="both"/>
      </w:pPr>
      <w:r>
        <w:rPr>
          <w:rFonts w:ascii="Times New Roman" w:cs="Times New Roman" w:eastAsia="Times New Roman" w:hAnsi="Times New Roman"/>
          <w:sz w:val="15"/>
          <w:szCs w:val="15"/>
        </w:rPr>
        <w:t>[40]</w:t>
        <w:tab/>
      </w:r>
      <w:r>
        <w:rPr>
          <w:rFonts w:ascii="Times New Roman" w:cs="Times New Roman" w:eastAsia="Times New Roman" w:hAnsi="Times New Roman"/>
          <w:sz w:val="15"/>
          <w:szCs w:val="15"/>
        </w:rPr>
        <w:t xml:space="preserve">Z. Li, B. Peng, P. He, and X. Yan, “Evaluating the instruction-following robustness of large language models to prompt injection,” in </w:t>
      </w:r>
      <w:r>
        <w:rPr>
          <w:rFonts w:ascii="Times New Roman" w:cs="Times New Roman" w:eastAsia="Times New Roman" w:hAnsi="Times New Roman"/>
          <w:i/>
          <w:iCs/>
          <w:sz w:val="15"/>
          <w:szCs w:val="15"/>
        </w:rPr>
        <w:t xml:space="preserve">Proc. Conf. Empirical Methods Natural Lang. Process. (EMNLP)</w:t>
      </w:r>
      <w:r>
        <w:rPr>
          <w:rFonts w:ascii="Times New Roman" w:cs="Times New Roman" w:eastAsia="Times New Roman" w:hAnsi="Times New Roman"/>
          <w:sz w:val="15"/>
          <w:szCs w:val="15"/>
        </w:rPr>
        <w:t xml:space="preserve">, 2024, doi: 10.18653/v1/2024.emnlp-main.33.</w:t>
      </w:r>
    </w:p>
    <w:p>
      <w:pPr>
        <w:tabs>
          <w:tab w:val="left" w:pos="420"/>
        </w:tabs>
        <w:spacing w:after="25" w:line="225"/>
        <w:ind w:left="420" w:hanging="420"/>
        <w:jc w:val="both"/>
      </w:pPr>
      <w:r>
        <w:rPr>
          <w:rFonts w:ascii="Times New Roman" w:cs="Times New Roman" w:eastAsia="Times New Roman" w:hAnsi="Times New Roman"/>
          <w:sz w:val="15"/>
          <w:szCs w:val="15"/>
        </w:rPr>
        <w:t>[41]</w:t>
        <w:tab/>
      </w:r>
      <w:r>
        <w:rPr>
          <w:rFonts w:ascii="Times New Roman" w:cs="Times New Roman" w:eastAsia="Times New Roman" w:hAnsi="Times New Roman"/>
          <w:sz w:val="15"/>
          <w:szCs w:val="15"/>
        </w:rPr>
        <w:t xml:space="preserve">S. Chen </w:t>
      </w:r>
      <w:r>
        <w:rPr>
          <w:rFonts w:ascii="Times New Roman" w:cs="Times New Roman" w:eastAsia="Times New Roman" w:hAnsi="Times New Roman"/>
          <w:i/>
          <w:iCs/>
          <w:sz w:val="15"/>
          <w:szCs w:val="15"/>
        </w:rPr>
        <w:t xml:space="preserve">et al.</w:t>
      </w:r>
      <w:r>
        <w:rPr>
          <w:rFonts w:ascii="Times New Roman" w:cs="Times New Roman" w:eastAsia="Times New Roman" w:hAnsi="Times New Roman"/>
          <w:sz w:val="15"/>
          <w:szCs w:val="15"/>
        </w:rPr>
        <w:t xml:space="preserve">, “SecAlign: Defending against prompt injection with preference optimization,” in </w:t>
      </w:r>
      <w:r>
        <w:rPr>
          <w:rFonts w:ascii="Times New Roman" w:cs="Times New Roman" w:eastAsia="Times New Roman" w:hAnsi="Times New Roman"/>
          <w:i/>
          <w:iCs/>
          <w:sz w:val="15"/>
          <w:szCs w:val="15"/>
        </w:rPr>
        <w:t xml:space="preserve">Proc. ACM SIGSAC Conf. Comput. Commun. Secur. (CCS)</w:t>
      </w:r>
      <w:r>
        <w:rPr>
          <w:rFonts w:ascii="Times New Roman" w:cs="Times New Roman" w:eastAsia="Times New Roman" w:hAnsi="Times New Roman"/>
          <w:sz w:val="15"/>
          <w:szCs w:val="15"/>
        </w:rPr>
        <w:t xml:space="preserve">, 2025, doi: 10.1145/3719027.3744836.</w:t>
      </w:r>
    </w:p>
    <w:sectPr>
      <w:headerReference w:type="default" r:id="rId7"/>
      <w:footerReference w:type="default" r:id="rId8"/>
      <w:pgSz w:w="11906" w:h="16838" w:orient="portrait"/>
      <w:pgMar w:top="1191" w:right="1134" w:bottom="119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Times New Roman" w:cs="Times New Roman" w:eastAsia="Times New Roman" w:hAnsi="Times New Roman"/>
          <w:sz w:val="16"/>
          <w:szCs w:val="16"/>
        </w:rPr>
        <w:t xml:space="preserve">The Digital Personal Data Protection Act, 2023, Ministry of Electronics and Information Technology, Government of India. https://www.meity.gov.in/static/uploads/2024/06/2bf1f0e9f04e6fb4f8fef35e82c42aa5.pdf</w:t>
      </w:r>
    </w:p>
  </w:footnote>
  <w:footnote w:id="2">
    <w:p>
      <w:pPr>
        <w:spacing w:after="0"/>
      </w:pPr>
      <w:r>
        <w:rPr>
          <w:rStyle w:val="FootnoteReference"/>
        </w:rPr>
        <w:footnoteRef/>
      </w:r>
      <w:r>
        <w:rPr>
          <w:rFonts w:ascii="Times New Roman" w:cs="Times New Roman" w:eastAsia="Times New Roman" w:hAnsi="Times New Roman"/>
          <w:sz w:val="16"/>
          <w:szCs w:val="16"/>
        </w:rPr>
        <w:t xml:space="preserve">Digital Personal Data Protection Rules, 2025, Ministry of Electronics and Information Technology, G.S.R. 846(E), November 2025. The status of the Rules text used to build the corpus should be confirmed against the Gazette before submission.</w:t>
      </w:r>
    </w:p>
  </w:footnote>
  <w:footnote w:id="3">
    <w:p>
      <w:pPr>
        <w:spacing w:after="0"/>
      </w:pPr>
      <w:r>
        <w:rPr>
          <w:rStyle w:val="FootnoteReference"/>
        </w:rPr>
        <w:footnoteRef/>
      </w:r>
      <w:r>
        <w:rPr>
          <w:rFonts w:ascii="Times New Roman" w:cs="Times New Roman" w:eastAsia="Times New Roman" w:hAnsi="Times New Roman"/>
          <w:sz w:val="16"/>
          <w:szCs w:val="16"/>
        </w:rPr>
        <w:t xml:space="preserve">Justice K. S. Puttaswamy (Retd.) v. Union of India, (2017) 10 SCC 1, Supreme Court of India.</w:t>
      </w:r>
    </w:p>
  </w:footnote>
  <w:footnote w:id="4">
    <w:p>
      <w:pPr>
        <w:spacing w:after="0"/>
      </w:pPr>
      <w:r>
        <w:rPr>
          <w:rStyle w:val="FootnoteReference"/>
        </w:rPr>
        <w:footnoteRef/>
      </w:r>
      <w:r>
        <w:rPr>
          <w:rFonts w:ascii="Times New Roman" w:cs="Times New Roman" w:eastAsia="Times New Roman" w:hAnsi="Times New Roman"/>
          <w:sz w:val="16"/>
          <w:szCs w:val="16"/>
        </w:rPr>
        <w:t xml:space="preserve">PwC India, “How aware and prepared are Indian consumers and businesses to navigate the new era of digital privacy?” survey report, October 2024.</w:t>
      </w:r>
    </w:p>
  </w:footnote>
  <w:footnote w:id="5">
    <w:p>
      <w:pPr>
        <w:spacing w:after="0"/>
      </w:pPr>
      <w:r>
        <w:rPr>
          <w:rStyle w:val="FootnoteReference"/>
        </w:rPr>
        <w:footnoteRef/>
      </w:r>
      <w:r>
        <w:rPr>
          <w:rFonts w:ascii="Times New Roman" w:cs="Times New Roman" w:eastAsia="Times New Roman" w:hAnsi="Times New Roman"/>
          <w:sz w:val="16"/>
          <w:szCs w:val="16"/>
        </w:rPr>
        <w:t xml:space="preserve">llama.cpp: LLM inference in C/C++. https://github.com/ggml-org/llama.cpp</w:t>
      </w:r>
    </w:p>
  </w:footnote>
  <w:footnote w:id="6">
    <w:p>
      <w:pPr>
        <w:spacing w:after="0"/>
      </w:pPr>
      <w:r>
        <w:rPr>
          <w:rStyle w:val="FootnoteReference"/>
        </w:rPr>
        <w:footnoteRef/>
      </w:r>
      <w:r>
        <w:rPr>
          <w:rFonts w:ascii="Times New Roman" w:cs="Times New Roman" w:eastAsia="Times New Roman" w:hAnsi="Times New Roman"/>
          <w:sz w:val="16"/>
          <w:szCs w:val="16"/>
        </w:rPr>
        <w:t xml:space="preserve">Embedding model BAAI/bge-large-en-v1.5. https://huggingface.co/BAAI/bge-large-en-v1.5</w:t>
      </w:r>
    </w:p>
  </w:footnote>
  <w:footnote w:id="7">
    <w:p>
      <w:pPr>
        <w:spacing w:after="0"/>
      </w:pPr>
      <w:r>
        <w:rPr>
          <w:rStyle w:val="FootnoteReference"/>
        </w:rPr>
        <w:footnoteRef/>
      </w:r>
      <w:r>
        <w:rPr>
          <w:rFonts w:ascii="Times New Roman" w:cs="Times New Roman" w:eastAsia="Times New Roman" w:hAnsi="Times New Roman"/>
          <w:sz w:val="16"/>
          <w:szCs w:val="16"/>
        </w:rPr>
        <w:t xml:space="preserve">Re-ranker BAAI/bge-reranker-v2-m3. https://huggingface.co/BAAI/bge-reranker-v2-m3</w:t>
      </w:r>
    </w:p>
  </w:footnote>
  <w:footnote w:id="8">
    <w:p>
      <w:pPr>
        <w:spacing w:after="0"/>
      </w:pPr>
      <w:r>
        <w:rPr>
          <w:rStyle w:val="FootnoteReference"/>
        </w:rPr>
        <w:footnoteRef/>
      </w:r>
      <w:r>
        <w:rPr>
          <w:rFonts w:ascii="Times New Roman" w:cs="Times New Roman" w:eastAsia="Times New Roman" w:hAnsi="Times New Roman"/>
          <w:sz w:val="16"/>
          <w:szCs w:val="16"/>
        </w:rPr>
        <w:t xml:space="preserve">D. Han, M. Han and the Unsloth team, Unsloth: fast and memory-efficient LLM fine-tuning. https://github.com/unslothai/unsloth</w:t>
      </w:r>
    </w:p>
  </w:footnote>
  <w:footnote w:id="9">
    <w:p>
      <w:pPr>
        <w:spacing w:after="0"/>
      </w:pPr>
      <w:r>
        <w:rPr>
          <w:rStyle w:val="FootnoteReference"/>
        </w:rPr>
        <w:footnoteRef/>
      </w:r>
      <w:r>
        <w:rPr>
          <w:rFonts w:ascii="Times New Roman" w:cs="Times New Roman" w:eastAsia="Times New Roman" w:hAnsi="Times New Roman"/>
          <w:sz w:val="16"/>
          <w:szCs w:val="16"/>
        </w:rPr>
        <w:t xml:space="preserve">vLLM: a high-throughput serving engine for large language models. https://github.com/vllm-project/vllm</w:t>
      </w:r>
    </w:p>
  </w:footnote>
  <w:footnote w:id="10">
    <w:p>
      <w:pPr>
        <w:spacing w:after="0"/>
      </w:pPr>
      <w:r>
        <w:rPr>
          <w:rStyle w:val="FootnoteReference"/>
        </w:rPr>
        <w:footnoteRef/>
      </w:r>
      <w:r>
        <w:rPr>
          <w:rFonts w:ascii="Times New Roman" w:cs="Times New Roman" w:eastAsia="Times New Roman" w:hAnsi="Times New Roman"/>
          <w:sz w:val="16"/>
          <w:szCs w:val="16"/>
        </w:rPr>
        <w:t xml:space="preserve">Global Privacy Control specification. https://globalprivacycontrol.org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Das and Roy: Ssense, DPDP Act policy auditing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Times New Roman" w:cs="Times New Roman" w:eastAsia="Times New Roman" w:hAnsi="Times New Roman"/>
      <w:sz w:val="20"/>
      <w:szCs w:val="20"/>
    </w:rPr>
  </w:style>
  <w:style w:type="paragraph" w:styleId="Heading2">
    <w:name w:val="Heading 2"/>
    <w:basedOn w:val="Normal"/>
    <w:next w:val="Normal"/>
    <w:qFormat/>
    <w:pPr>
      <w:spacing w:after="80" w:before="160"/>
      <w:outlineLvl w:val="1"/>
    </w:pPr>
    <w:rPr>
      <w:rFonts w:ascii="Times New Roman" w:cs="Times New Roman" w:eastAsia="Times New Roman" w:hAnsi="Times New Roman"/>
      <w:i/>
      <w:iCs/>
      <w:sz w:val="20"/>
      <w:szCs w:val="20"/>
    </w:rPr>
  </w:style>
  <w:style w:type="paragraph" w:styleId="Heading3">
    <w:name w:val="Heading 3"/>
    <w:basedOn w:val="Normal"/>
    <w:next w:val="Normal"/>
    <w:qFormat/>
    <w:pPr>
      <w:spacing w:after="60" w:before="100"/>
      <w:outlineLvl w:val="2"/>
    </w:pPr>
    <w:rPr>
      <w:rFonts w:ascii="Times New Roman" w:cs="Times New Roman" w:eastAsia="Times New Roman" w:hAnsi="Times New Roman"/>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0a8ebb68159010205303687e8ca4e4e927e449.png"/><Relationship Id="rId10" Type="http://schemas.openxmlformats.org/officeDocument/2006/relationships/image" Target="media/d2d2d04bc15af8a6344545b89c486a5f8dcee481.png"/><Relationship Id="rId11" Type="http://schemas.openxmlformats.org/officeDocument/2006/relationships/image" Target="media/60a4afb39c70a1b2d508c29bd5581da1ec798dff.png"/><Relationship Id="rId12" Type="http://schemas.openxmlformats.org/officeDocument/2006/relationships/image" Target="media/0b08df5b7241b52c588e8415da50af9626a249a6.png"/><Relationship Id="rId13" Type="http://schemas.openxmlformats.org/officeDocument/2006/relationships/image" Target="media/0a3872b270a67d75f11205010d0b3f3dc8fce4d9.png"/><Relationship Id="rId14" Type="http://schemas.openxmlformats.org/officeDocument/2006/relationships/image" Target="media/db179cd7bdc8ae6176f11bf2e25af0924c1e6148.png"/><Relationship Id="rId15" Type="http://schemas.openxmlformats.org/officeDocument/2006/relationships/image" Target="media/1205aa7ef213ec17821b41111f8fb6b2883164fe.png"/><Relationship Id="rId16" Type="http://schemas.openxmlformats.org/officeDocument/2006/relationships/image" Target="media/046905cee5923e48c3445ba15c92ebb6671161cc.png"/><Relationship Id="rId17" Type="http://schemas.openxmlformats.org/officeDocument/2006/relationships/image" Target="media/d3b478d3e2c4e13e0b792906da4a2108b8174305.png"/><Relationship Id="rId18" Type="http://schemas.openxmlformats.org/officeDocument/2006/relationships/image" Target="media/87eb5c56b2bf9b23873ef035f5f807d53c950c3f.png"/><Relationship Id="rId19" Type="http://schemas.openxmlformats.org/officeDocument/2006/relationships/image" Target="media/c8059bcc1e206e4d799fa67245b4eb3d89903a5f.png"/><Relationship Id="rId20" Type="http://schemas.openxmlformats.org/officeDocument/2006/relationships/image" Target="media/d47d3e6f710fec539d1dccc9c77a872ca9151de8.png"/><Relationship Id="rId21" Type="http://schemas.openxmlformats.org/officeDocument/2006/relationships/image" Target="media/0f950cc8391b75b3a18595d7411d93fadb936c40.png"/><Relationship Id="rId22" Type="http://schemas.openxmlformats.org/officeDocument/2006/relationships/image" Target="media/55637992fed39c5a487c003e4f0262bf3adfe3c0.png"/><Relationship Id="rId23" Type="http://schemas.openxmlformats.org/officeDocument/2006/relationships/image" Target="media/87dd0f8cf4f61439fd0de185008161c9689ff8d3.png"/><Relationship Id="rId24" Type="http://schemas.openxmlformats.org/officeDocument/2006/relationships/image" Target="media/daec2aea34fc131cc6dce53ea4ee9d6c80288b9f.png"/><Relationship Id="rId25" Type="http://schemas.openxmlformats.org/officeDocument/2006/relationships/image" Target="media/1d4ae6e4b916f8fda56dc827487af7f34edb8e7f.png"/><Relationship Id="rId26" Type="http://schemas.openxmlformats.org/officeDocument/2006/relationships/image" Target="media/7d1a318d55765f0f32d76cca62d66c2c3c60728c.png"/><Relationship Id="rId27" Type="http://schemas.openxmlformats.org/officeDocument/2006/relationships/image" Target="media/0bccdf715a31adf6fa571bfd7b55c68adb2efe8a.png"/><Relationship Id="rId28" Type="http://schemas.openxmlformats.org/officeDocument/2006/relationships/image" Target="media/711e87117353b076b624001d97fc25402c4ed470.png"/><Relationship Id="rId29" Type="http://schemas.openxmlformats.org/officeDocument/2006/relationships/image" Target="media/b62a53f7619edd14e5beead4969096425b18ba37.png"/><Relationship Id="rId30" Type="http://schemas.openxmlformats.org/officeDocument/2006/relationships/image" Target="media/ca93bd4bd816f5f203d18b04ba4926e20dafe2dd.png"/><Relationship Id="rId31" Type="http://schemas.openxmlformats.org/officeDocument/2006/relationships/image" Target="media/c882e07504a11a97276aa05842077769828e79a5.png"/><Relationship Id="rId32" Type="http://schemas.openxmlformats.org/officeDocument/2006/relationships/image" Target="media/796f269e2c3f03f65cdfede1ab0f61855dbe9b8e.png"/><Relationship Id="rId33" Type="http://schemas.openxmlformats.org/officeDocument/2006/relationships/image" Target="media/b4990e200aae44de6be54b6310a715dd6054a4f4.png"/><Relationship Id="rId34" Type="http://schemas.openxmlformats.org/officeDocument/2006/relationships/image" Target="media/e266ba51c98b4ce8ccc3f7d9b14b8648a0872556.png"/><Relationship Id="rId3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Ssense</dc:title>
  <dc:creator>Anubhav Das, Priyanshu Roy</dc:creator>
  <cp:lastModifiedBy>Un-named</cp:lastModifiedBy>
  <cp:revision>1</cp:revision>
  <dcterms:created xsi:type="dcterms:W3CDTF">2026-10-15T11:36:57.317Z</dcterms:created>
  <dcterms:modified xsi:type="dcterms:W3CDTF">2026-10-15T11:36:57.318Z</dcterms:modified>
</cp:coreProperties>
</file>

<file path=docProps/custom.xml><?xml version="1.0" encoding="utf-8"?>
<Properties xmlns="http://schemas.openxmlformats.org/officeDocument/2006/custom-properties" xmlns:vt="http://schemas.openxmlformats.org/officeDocument/2006/docPropsVTypes"/>
</file>