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76BEF" w14:textId="77777777" w:rsidR="008F4D3D" w:rsidRPr="008C474F" w:rsidRDefault="008F4D3D">
      <w:pPr>
        <w:rPr>
          <w:rFonts w:ascii="Times New Roman" w:hAnsi="Times New Roman" w:cs="Times New Roman"/>
          <w:sz w:val="24"/>
          <w:szCs w:val="24"/>
        </w:rPr>
      </w:pPr>
      <w:bookmarkStart w:id="0" w:name="_GoBack"/>
      <w:bookmarkEnd w:id="0"/>
    </w:p>
    <w:p w14:paraId="6004908E" w14:textId="77777777" w:rsidR="008F4D3D" w:rsidRPr="008C474F" w:rsidRDefault="008F4D3D">
      <w:pPr>
        <w:rPr>
          <w:rFonts w:ascii="Times New Roman" w:hAnsi="Times New Roman" w:cs="Times New Roman"/>
          <w:sz w:val="24"/>
          <w:szCs w:val="24"/>
        </w:rPr>
      </w:pPr>
    </w:p>
    <w:p w14:paraId="2A2A8489" w14:textId="77777777" w:rsidR="008F4D3D" w:rsidRPr="008C474F" w:rsidRDefault="008F4D3D">
      <w:pPr>
        <w:rPr>
          <w:rFonts w:ascii="Times New Roman" w:hAnsi="Times New Roman" w:cs="Times New Roman"/>
          <w:sz w:val="24"/>
          <w:szCs w:val="24"/>
        </w:rPr>
      </w:pPr>
      <w:r w:rsidRPr="008C474F">
        <w:rPr>
          <w:rFonts w:ascii="Times New Roman" w:hAnsi="Times New Roman" w:cs="Times New Roman"/>
          <w:noProof/>
          <w:sz w:val="24"/>
          <w:szCs w:val="24"/>
        </w:rPr>
        <w:drawing>
          <wp:inline distT="0" distB="0" distL="0" distR="0" wp14:anchorId="1FB89717" wp14:editId="07891A16">
            <wp:extent cx="5939155" cy="398462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3984625"/>
                    </a:xfrm>
                    <a:prstGeom prst="rect">
                      <a:avLst/>
                    </a:prstGeom>
                    <a:noFill/>
                    <a:ln>
                      <a:noFill/>
                    </a:ln>
                  </pic:spPr>
                </pic:pic>
              </a:graphicData>
            </a:graphic>
          </wp:inline>
        </w:drawing>
      </w:r>
    </w:p>
    <w:p w14:paraId="3C2B334B" w14:textId="1E938A29" w:rsidR="008F4D3D" w:rsidRPr="008C474F" w:rsidRDefault="008F4D3D">
      <w:pPr>
        <w:rPr>
          <w:rFonts w:ascii="Times New Roman" w:hAnsi="Times New Roman" w:cs="Times New Roman"/>
          <w:sz w:val="24"/>
          <w:szCs w:val="24"/>
        </w:rPr>
      </w:pPr>
      <w:r w:rsidRPr="008C474F">
        <w:rPr>
          <w:rFonts w:ascii="Times New Roman" w:hAnsi="Times New Roman" w:cs="Times New Roman"/>
          <w:sz w:val="24"/>
          <w:szCs w:val="24"/>
        </w:rPr>
        <w:t xml:space="preserve">Supplementary Figure 1. </w:t>
      </w:r>
      <w:r w:rsidRPr="008C474F">
        <w:rPr>
          <w:rFonts w:ascii="Times New Roman" w:hAnsi="Times New Roman" w:cs="Times New Roman"/>
          <w:sz w:val="24"/>
          <w:szCs w:val="24"/>
        </w:rPr>
        <w:t xml:space="preserve">AUC values and the standard errors for PRS with independent SNPs based on simulation study. Each data point represents one simulation. For each simulation, we calculated the AUC and its variance based on individual data (x-coordinate) and using SummaryAUC (y-coordinate). </w:t>
      </w:r>
      <w:r w:rsidRPr="008C474F">
        <w:rPr>
          <w:rFonts w:ascii="Times New Roman" w:hAnsi="Times New Roman" w:cs="Times New Roman"/>
          <w:sz w:val="24"/>
          <w:szCs w:val="24"/>
        </w:rPr>
        <w:t xml:space="preserve">Simulation results assuming </w:t>
      </w:r>
      <m:oMath>
        <m:r>
          <w:rPr>
            <w:rFonts w:ascii="Cambria Math" w:hAnsi="Cambria Math" w:cs="Times New Roman"/>
            <w:sz w:val="24"/>
            <w:szCs w:val="24"/>
          </w:rPr>
          <m:t>β=</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OR</m:t>
                </m:r>
              </m:e>
            </m:d>
          </m:e>
        </m:func>
        <m:r>
          <w:rPr>
            <w:rFonts w:ascii="Cambria Math" w:hAnsi="Cambria Math" w:cs="Times New Roman"/>
            <w:sz w:val="24"/>
            <w:szCs w:val="24"/>
          </w:rPr>
          <m:t>~N(0, 1/</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2</m:t>
            </m:r>
          </m:sup>
        </m:sSup>
        <m:r>
          <w:rPr>
            <w:rFonts w:ascii="Cambria Math" w:hAnsi="Cambria Math" w:cs="Times New Roman"/>
            <w:sz w:val="24"/>
            <w:szCs w:val="24"/>
          </w:rPr>
          <m:t>)</m:t>
        </m:r>
      </m:oMath>
      <w:r w:rsidRPr="008C474F">
        <w:rPr>
          <w:rFonts w:ascii="Times New Roman" w:hAnsi="Times New Roman" w:cs="Times New Roman"/>
          <w:sz w:val="24"/>
          <w:szCs w:val="24"/>
        </w:rPr>
        <w:t xml:space="preserve">. </w:t>
      </w:r>
    </w:p>
    <w:p w14:paraId="605B8E93" w14:textId="77777777" w:rsidR="008F4D3D" w:rsidRPr="008C474F" w:rsidRDefault="008F4D3D">
      <w:pPr>
        <w:rPr>
          <w:rFonts w:ascii="Times New Roman" w:hAnsi="Times New Roman" w:cs="Times New Roman"/>
          <w:sz w:val="24"/>
          <w:szCs w:val="24"/>
        </w:rPr>
      </w:pPr>
    </w:p>
    <w:p w14:paraId="33797E70" w14:textId="77777777" w:rsidR="008F4D3D" w:rsidRPr="008C474F" w:rsidRDefault="008F4D3D">
      <w:pPr>
        <w:rPr>
          <w:rFonts w:ascii="Times New Roman" w:hAnsi="Times New Roman" w:cs="Times New Roman"/>
          <w:sz w:val="24"/>
          <w:szCs w:val="24"/>
        </w:rPr>
      </w:pPr>
      <w:r w:rsidRPr="008C474F">
        <w:rPr>
          <w:rFonts w:ascii="Times New Roman" w:hAnsi="Times New Roman" w:cs="Times New Roman"/>
          <w:noProof/>
          <w:sz w:val="24"/>
          <w:szCs w:val="24"/>
        </w:rPr>
        <w:lastRenderedPageBreak/>
        <w:drawing>
          <wp:inline distT="0" distB="0" distL="0" distR="0" wp14:anchorId="31BA7178" wp14:editId="589FDA44">
            <wp:extent cx="5939155" cy="3863975"/>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155" cy="3863975"/>
                    </a:xfrm>
                    <a:prstGeom prst="rect">
                      <a:avLst/>
                    </a:prstGeom>
                    <a:noFill/>
                    <a:ln>
                      <a:noFill/>
                    </a:ln>
                  </pic:spPr>
                </pic:pic>
              </a:graphicData>
            </a:graphic>
          </wp:inline>
        </w:drawing>
      </w:r>
    </w:p>
    <w:p w14:paraId="0C2D78FE" w14:textId="0FED39B3"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 xml:space="preserve">Supplementary Figure </w:t>
      </w:r>
      <w:r w:rsidRPr="008C474F">
        <w:rPr>
          <w:rFonts w:ascii="Times New Roman" w:hAnsi="Times New Roman" w:cs="Times New Roman"/>
          <w:sz w:val="24"/>
          <w:szCs w:val="24"/>
        </w:rPr>
        <w:t>2</w:t>
      </w:r>
      <w:r w:rsidRPr="008C474F">
        <w:rPr>
          <w:rFonts w:ascii="Times New Roman" w:hAnsi="Times New Roman" w:cs="Times New Roman"/>
          <w:sz w:val="24"/>
          <w:szCs w:val="24"/>
        </w:rPr>
        <w:t xml:space="preserve">. AUC values and the standard errors for PRS with independent SNPs based on simulation study. Each data point represents one simulation. For each simulation, we calculated the AUC and its variance based on individual data (x-coordinate) and using SummaryAUC (y-coordinate). Simulation results assuming </w:t>
      </w:r>
      <m:oMath>
        <m:r>
          <w:rPr>
            <w:rFonts w:ascii="Cambria Math" w:hAnsi="Cambria Math" w:cs="Times New Roman"/>
            <w:sz w:val="24"/>
            <w:szCs w:val="24"/>
          </w:rPr>
          <m:t>β=</m:t>
        </m:r>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OR</m:t>
                </m:r>
              </m:e>
            </m:d>
          </m:e>
        </m:func>
        <m:r>
          <w:rPr>
            <w:rFonts w:ascii="Cambria Math" w:hAnsi="Cambria Math" w:cs="Times New Roman"/>
            <w:sz w:val="24"/>
            <w:szCs w:val="24"/>
          </w:rPr>
          <m:t xml:space="preserve">~N(0, </m:t>
        </m:r>
        <m:r>
          <w:rPr>
            <w:rFonts w:ascii="Cambria Math" w:hAnsi="Cambria Math" w:cs="Times New Roman"/>
            <w:sz w:val="24"/>
            <w:szCs w:val="24"/>
          </w:rPr>
          <m:t>1</m:t>
        </m:r>
        <m:r>
          <w:rPr>
            <w:rFonts w:ascii="Cambria Math" w:hAnsi="Cambria Math" w:cs="Times New Roman"/>
            <w:sz w:val="24"/>
            <w:szCs w:val="24"/>
          </w:rPr>
          <m:t>)</m:t>
        </m:r>
      </m:oMath>
      <w:r w:rsidRPr="008C474F">
        <w:rPr>
          <w:rFonts w:ascii="Times New Roman" w:hAnsi="Times New Roman" w:cs="Times New Roman"/>
          <w:sz w:val="24"/>
          <w:szCs w:val="24"/>
        </w:rPr>
        <w:t xml:space="preserve">. </w:t>
      </w:r>
    </w:p>
    <w:p w14:paraId="47875B39" w14:textId="77777777" w:rsidR="008F4D3D" w:rsidRPr="008C474F" w:rsidRDefault="008F4D3D" w:rsidP="008F4D3D">
      <w:pPr>
        <w:rPr>
          <w:rFonts w:ascii="Times New Roman" w:hAnsi="Times New Roman" w:cs="Times New Roman"/>
          <w:sz w:val="24"/>
          <w:szCs w:val="24"/>
        </w:rPr>
      </w:pPr>
    </w:p>
    <w:p w14:paraId="56F44AC7" w14:textId="77777777" w:rsidR="008F4D3D" w:rsidRPr="008C474F" w:rsidRDefault="008F4D3D">
      <w:pPr>
        <w:rPr>
          <w:rFonts w:ascii="Times New Roman" w:hAnsi="Times New Roman" w:cs="Times New Roman"/>
          <w:sz w:val="24"/>
          <w:szCs w:val="24"/>
        </w:rPr>
      </w:pPr>
    </w:p>
    <w:p w14:paraId="74E5A80E" w14:textId="77777777" w:rsidR="008F4D3D" w:rsidRPr="008C474F" w:rsidRDefault="008F4D3D">
      <w:pPr>
        <w:rPr>
          <w:rFonts w:ascii="Times New Roman" w:hAnsi="Times New Roman" w:cs="Times New Roman"/>
          <w:sz w:val="24"/>
          <w:szCs w:val="24"/>
        </w:rPr>
      </w:pPr>
    </w:p>
    <w:p w14:paraId="296D1347" w14:textId="77777777" w:rsidR="00BD65BE" w:rsidRPr="008C474F" w:rsidRDefault="00BD65BE">
      <w:pPr>
        <w:rPr>
          <w:rFonts w:ascii="Times New Roman" w:hAnsi="Times New Roman" w:cs="Times New Roman"/>
          <w:sz w:val="24"/>
          <w:szCs w:val="24"/>
        </w:rPr>
      </w:pPr>
      <w:r w:rsidRPr="008C474F">
        <w:rPr>
          <w:rFonts w:ascii="Times New Roman" w:hAnsi="Times New Roman" w:cs="Times New Roman"/>
          <w:noProof/>
          <w:sz w:val="24"/>
          <w:szCs w:val="24"/>
        </w:rPr>
        <w:lastRenderedPageBreak/>
        <w:drawing>
          <wp:inline distT="0" distB="0" distL="0" distR="0" wp14:anchorId="07853C19" wp14:editId="1D5F32F2">
            <wp:extent cx="5939790" cy="3923030"/>
            <wp:effectExtent l="0" t="0" r="381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9790" cy="3923030"/>
                    </a:xfrm>
                    <a:prstGeom prst="rect">
                      <a:avLst/>
                    </a:prstGeom>
                    <a:noFill/>
                    <a:ln>
                      <a:noFill/>
                    </a:ln>
                  </pic:spPr>
                </pic:pic>
              </a:graphicData>
            </a:graphic>
          </wp:inline>
        </w:drawing>
      </w:r>
    </w:p>
    <w:p w14:paraId="28DDF86C" w14:textId="768EBD95" w:rsidR="00A34DD3" w:rsidRPr="008C474F" w:rsidRDefault="00BD65BE">
      <w:pPr>
        <w:rPr>
          <w:rFonts w:ascii="Times New Roman" w:hAnsi="Times New Roman" w:cs="Times New Roman"/>
          <w:sz w:val="24"/>
          <w:szCs w:val="24"/>
        </w:rPr>
      </w:pPr>
      <w:r w:rsidRPr="008C474F">
        <w:rPr>
          <w:rFonts w:ascii="Times New Roman" w:hAnsi="Times New Roman" w:cs="Times New Roman"/>
          <w:sz w:val="24"/>
          <w:szCs w:val="24"/>
        </w:rPr>
        <w:t xml:space="preserve">Supplementary Figure </w:t>
      </w:r>
      <w:r w:rsidR="008F4D3D" w:rsidRPr="008C474F">
        <w:rPr>
          <w:rFonts w:ascii="Times New Roman" w:hAnsi="Times New Roman" w:cs="Times New Roman"/>
          <w:sz w:val="24"/>
          <w:szCs w:val="24"/>
        </w:rPr>
        <w:t>3</w:t>
      </w:r>
      <w:r w:rsidRPr="008C474F">
        <w:rPr>
          <w:rFonts w:ascii="Times New Roman" w:hAnsi="Times New Roman" w:cs="Times New Roman"/>
          <w:sz w:val="24"/>
          <w:szCs w:val="24"/>
        </w:rPr>
        <w:t xml:space="preserve">. AUC values and the standard errors for PRS with independent SNPs based on simulation study. Each data point represents one simulation. For each simulation, we calculated the AUC and its variance based on individual data (x-coordinate) and using SummaryAUC (y-coordinate). </w:t>
      </w:r>
    </w:p>
    <w:p w14:paraId="66901C20" w14:textId="77777777" w:rsidR="00A34DD3" w:rsidRPr="008C474F" w:rsidRDefault="00A34DD3">
      <w:pPr>
        <w:rPr>
          <w:rFonts w:ascii="Times New Roman" w:hAnsi="Times New Roman" w:cs="Times New Roman"/>
          <w:sz w:val="24"/>
          <w:szCs w:val="24"/>
        </w:rPr>
      </w:pPr>
    </w:p>
    <w:p w14:paraId="4193F01C" w14:textId="77777777" w:rsidR="00A34DD3" w:rsidRPr="008C474F" w:rsidRDefault="00A34DD3">
      <w:pPr>
        <w:rPr>
          <w:rFonts w:ascii="Times New Roman" w:hAnsi="Times New Roman" w:cs="Times New Roman"/>
          <w:sz w:val="24"/>
          <w:szCs w:val="24"/>
        </w:rPr>
      </w:pPr>
    </w:p>
    <w:p w14:paraId="636F3F02" w14:textId="77777777" w:rsidR="003E376D" w:rsidRPr="008C474F" w:rsidRDefault="003E376D">
      <w:pPr>
        <w:rPr>
          <w:rFonts w:ascii="Times New Roman" w:hAnsi="Times New Roman" w:cs="Times New Roman"/>
          <w:sz w:val="24"/>
          <w:szCs w:val="24"/>
        </w:rPr>
      </w:pPr>
    </w:p>
    <w:p w14:paraId="3DD10B97" w14:textId="77777777" w:rsidR="002D1D28" w:rsidRPr="008C474F" w:rsidRDefault="002D1D28">
      <w:pPr>
        <w:rPr>
          <w:rFonts w:ascii="Times New Roman" w:hAnsi="Times New Roman" w:cs="Times New Roman"/>
          <w:sz w:val="24"/>
          <w:szCs w:val="24"/>
        </w:rPr>
      </w:pPr>
      <w:r w:rsidRPr="008C474F">
        <w:rPr>
          <w:rFonts w:ascii="Times New Roman" w:hAnsi="Times New Roman" w:cs="Times New Roman"/>
          <w:sz w:val="24"/>
          <w:szCs w:val="24"/>
        </w:rPr>
        <w:br w:type="page"/>
      </w:r>
    </w:p>
    <w:p w14:paraId="4FB60B46" w14:textId="3D4E6CA1" w:rsidR="005072FB" w:rsidRPr="008C474F" w:rsidRDefault="002D1D28">
      <w:pPr>
        <w:rPr>
          <w:rFonts w:ascii="Times New Roman" w:hAnsi="Times New Roman" w:cs="Times New Roman"/>
          <w:sz w:val="24"/>
          <w:szCs w:val="24"/>
        </w:rPr>
      </w:pPr>
      <w:r w:rsidRPr="008C474F">
        <w:rPr>
          <w:rFonts w:ascii="Times New Roman" w:hAnsi="Times New Roman" w:cs="Times New Roman"/>
          <w:sz w:val="24"/>
          <w:szCs w:val="24"/>
        </w:rPr>
        <w:lastRenderedPageBreak/>
        <w:t xml:space="preserve">Additional simulations. </w:t>
      </w:r>
      <w:r w:rsidR="005072FB" w:rsidRPr="008C474F">
        <w:rPr>
          <w:rFonts w:ascii="Times New Roman" w:hAnsi="Times New Roman" w:cs="Times New Roman"/>
          <w:sz w:val="24"/>
          <w:szCs w:val="24"/>
        </w:rPr>
        <w:t>SNP list, effect allele frequencies and ORs are from publications of nine diseases: Crohn’s diseases  (Lee, et al., 2013), type 1 diabetes (</w:t>
      </w:r>
      <w:proofErr w:type="spellStart"/>
      <w:r w:rsidR="005072FB" w:rsidRPr="008C474F">
        <w:rPr>
          <w:rFonts w:ascii="Times New Roman" w:hAnsi="Times New Roman" w:cs="Times New Roman"/>
          <w:sz w:val="24"/>
          <w:szCs w:val="24"/>
        </w:rPr>
        <w:t>Onengut-Gumuscu</w:t>
      </w:r>
      <w:proofErr w:type="spellEnd"/>
      <w:r w:rsidR="005072FB" w:rsidRPr="008C474F">
        <w:rPr>
          <w:rFonts w:ascii="Times New Roman" w:hAnsi="Times New Roman" w:cs="Times New Roman"/>
          <w:sz w:val="24"/>
          <w:szCs w:val="24"/>
        </w:rPr>
        <w:t>, et al., 2015), Alzheimer’s disease (</w:t>
      </w:r>
      <w:proofErr w:type="spellStart"/>
      <w:r w:rsidR="005072FB" w:rsidRPr="008C474F">
        <w:rPr>
          <w:rFonts w:ascii="Times New Roman" w:hAnsi="Times New Roman" w:cs="Times New Roman"/>
          <w:sz w:val="24"/>
          <w:szCs w:val="24"/>
        </w:rPr>
        <w:t>Sleegers</w:t>
      </w:r>
      <w:proofErr w:type="spellEnd"/>
      <w:r w:rsidR="005072FB" w:rsidRPr="008C474F">
        <w:rPr>
          <w:rFonts w:ascii="Times New Roman" w:hAnsi="Times New Roman" w:cs="Times New Roman"/>
          <w:sz w:val="24"/>
          <w:szCs w:val="24"/>
        </w:rPr>
        <w:t>, et al., 2015), testicular cancer (Wang, et al., 2017), multiple sclerosis (</w:t>
      </w:r>
      <w:proofErr w:type="spellStart"/>
      <w:r w:rsidR="005072FB" w:rsidRPr="008C474F">
        <w:rPr>
          <w:rFonts w:ascii="Times New Roman" w:hAnsi="Times New Roman" w:cs="Times New Roman"/>
          <w:sz w:val="24"/>
          <w:szCs w:val="24"/>
        </w:rPr>
        <w:t>Sawcer</w:t>
      </w:r>
      <w:proofErr w:type="spellEnd"/>
      <w:r w:rsidR="005072FB" w:rsidRPr="008C474F">
        <w:rPr>
          <w:rFonts w:ascii="Times New Roman" w:hAnsi="Times New Roman" w:cs="Times New Roman"/>
          <w:sz w:val="24"/>
          <w:szCs w:val="24"/>
        </w:rPr>
        <w:t>, et al., 2011), prostate cancer (Schumacher, et al., 2018), melanoma (Law, et al., 2015), rheumatoid arthritis (Okada, et al., 2014) and psoriasis  (Strange, et al., 2010).</w:t>
      </w:r>
    </w:p>
    <w:p w14:paraId="1DED7FAF" w14:textId="77777777" w:rsidR="005072FB" w:rsidRPr="008C474F" w:rsidRDefault="005072FB">
      <w:pPr>
        <w:rPr>
          <w:rFonts w:ascii="Times New Roman" w:hAnsi="Times New Roman" w:cs="Times New Roman"/>
          <w:sz w:val="24"/>
          <w:szCs w:val="24"/>
        </w:rPr>
      </w:pPr>
    </w:p>
    <w:p w14:paraId="624B28E8" w14:textId="77777777" w:rsidR="002D1D28" w:rsidRPr="008C474F" w:rsidRDefault="002D1D28">
      <w:pPr>
        <w:rPr>
          <w:rFonts w:ascii="Times New Roman" w:hAnsi="Times New Roman" w:cs="Times New Roman"/>
          <w:sz w:val="24"/>
          <w:szCs w:val="24"/>
        </w:rPr>
      </w:pPr>
    </w:p>
    <w:p w14:paraId="786D2C09" w14:textId="77777777" w:rsidR="000D3DB7" w:rsidRPr="008C474F" w:rsidRDefault="00091DA3" w:rsidP="00091DA3">
      <w:pPr>
        <w:jc w:val="center"/>
        <w:rPr>
          <w:rFonts w:ascii="Times New Roman" w:hAnsi="Times New Roman" w:cs="Times New Roman"/>
          <w:sz w:val="24"/>
          <w:szCs w:val="24"/>
        </w:rPr>
      </w:pPr>
      <w:r w:rsidRPr="008C474F">
        <w:rPr>
          <w:rFonts w:ascii="Times New Roman" w:hAnsi="Times New Roman" w:cs="Times New Roman"/>
          <w:noProof/>
          <w:sz w:val="24"/>
          <w:szCs w:val="24"/>
        </w:rPr>
        <w:drawing>
          <wp:inline distT="0" distB="0" distL="0" distR="0" wp14:anchorId="683239AA" wp14:editId="69DB2119">
            <wp:extent cx="4364019" cy="2564106"/>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68454" cy="2566712"/>
                    </a:xfrm>
                    <a:prstGeom prst="rect">
                      <a:avLst/>
                    </a:prstGeom>
                    <a:noFill/>
                    <a:ln>
                      <a:noFill/>
                    </a:ln>
                  </pic:spPr>
                </pic:pic>
              </a:graphicData>
            </a:graphic>
          </wp:inline>
        </w:drawing>
      </w:r>
    </w:p>
    <w:p w14:paraId="0F3F5AB8" w14:textId="77777777" w:rsidR="00091DA3" w:rsidRPr="008C474F" w:rsidRDefault="00091DA3" w:rsidP="00091DA3">
      <w:pPr>
        <w:rPr>
          <w:rFonts w:ascii="Times New Roman" w:hAnsi="Times New Roman" w:cs="Times New Roman"/>
          <w:sz w:val="24"/>
          <w:szCs w:val="24"/>
        </w:rPr>
      </w:pPr>
      <w:r w:rsidRPr="008C474F">
        <w:rPr>
          <w:rFonts w:ascii="Times New Roman" w:hAnsi="Times New Roman" w:cs="Times New Roman"/>
          <w:sz w:val="24"/>
          <w:szCs w:val="24"/>
        </w:rPr>
        <w:t xml:space="preserve">Supplementary Figure </w:t>
      </w:r>
      <w:r w:rsidR="00843155" w:rsidRPr="008C474F">
        <w:rPr>
          <w:rFonts w:ascii="Times New Roman" w:hAnsi="Times New Roman" w:cs="Times New Roman"/>
          <w:sz w:val="24"/>
          <w:szCs w:val="24"/>
        </w:rPr>
        <w:t>4</w:t>
      </w:r>
      <w:r w:rsidRPr="008C474F">
        <w:rPr>
          <w:rFonts w:ascii="Times New Roman" w:hAnsi="Times New Roman" w:cs="Times New Roman"/>
          <w:sz w:val="24"/>
          <w:szCs w:val="24"/>
        </w:rPr>
        <w:t xml:space="preserve">. (A). Number of SNPs included in PRS for 9 diseases. (B) The largest OR for each disease. SNPs with MAF&lt;1% were excluded from analysis. </w:t>
      </w:r>
    </w:p>
    <w:p w14:paraId="0C880BA8" w14:textId="77777777" w:rsidR="00CA732C" w:rsidRPr="008C474F" w:rsidRDefault="00CA732C" w:rsidP="00091DA3">
      <w:pPr>
        <w:rPr>
          <w:rFonts w:ascii="Times New Roman" w:hAnsi="Times New Roman" w:cs="Times New Roman"/>
          <w:sz w:val="24"/>
          <w:szCs w:val="24"/>
        </w:rPr>
      </w:pPr>
    </w:p>
    <w:p w14:paraId="5A33D218" w14:textId="77777777" w:rsidR="00CA732C" w:rsidRPr="008C474F" w:rsidRDefault="00CA732C">
      <w:pPr>
        <w:rPr>
          <w:rFonts w:ascii="Times New Roman" w:hAnsi="Times New Roman" w:cs="Times New Roman"/>
          <w:sz w:val="24"/>
          <w:szCs w:val="24"/>
        </w:rPr>
      </w:pPr>
      <w:r w:rsidRPr="008C474F">
        <w:rPr>
          <w:rFonts w:ascii="Times New Roman" w:hAnsi="Times New Roman" w:cs="Times New Roman"/>
          <w:sz w:val="24"/>
          <w:szCs w:val="24"/>
        </w:rPr>
        <w:br w:type="page"/>
      </w:r>
    </w:p>
    <w:p w14:paraId="110FC70D" w14:textId="77777777" w:rsidR="00CA732C" w:rsidRPr="008C474F" w:rsidRDefault="00CA732C" w:rsidP="00091DA3">
      <w:pPr>
        <w:rPr>
          <w:rFonts w:ascii="Times New Roman" w:hAnsi="Times New Roman" w:cs="Times New Roman"/>
          <w:sz w:val="24"/>
          <w:szCs w:val="24"/>
        </w:rPr>
      </w:pPr>
    </w:p>
    <w:p w14:paraId="2553F984" w14:textId="33B2D7E8" w:rsidR="000D3DB7" w:rsidRPr="008C474F" w:rsidRDefault="000D3DB7">
      <w:pPr>
        <w:rPr>
          <w:rFonts w:ascii="Times New Roman" w:hAnsi="Times New Roman" w:cs="Times New Roman"/>
          <w:sz w:val="24"/>
          <w:szCs w:val="24"/>
        </w:rPr>
      </w:pPr>
      <w:r w:rsidRPr="008C474F">
        <w:rPr>
          <w:rFonts w:ascii="Times New Roman" w:hAnsi="Times New Roman" w:cs="Times New Roman"/>
          <w:noProof/>
          <w:sz w:val="24"/>
          <w:szCs w:val="24"/>
        </w:rPr>
        <w:drawing>
          <wp:inline distT="0" distB="0" distL="0" distR="0" wp14:anchorId="16919CF8" wp14:editId="6B3F843F">
            <wp:extent cx="5935345" cy="56254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345" cy="5625465"/>
                    </a:xfrm>
                    <a:prstGeom prst="rect">
                      <a:avLst/>
                    </a:prstGeom>
                    <a:noFill/>
                    <a:ln>
                      <a:noFill/>
                    </a:ln>
                  </pic:spPr>
                </pic:pic>
              </a:graphicData>
            </a:graphic>
          </wp:inline>
        </w:drawing>
      </w:r>
      <w:r w:rsidR="00843155" w:rsidRPr="008C474F">
        <w:rPr>
          <w:rFonts w:ascii="Times New Roman" w:hAnsi="Times New Roman" w:cs="Times New Roman"/>
          <w:sz w:val="24"/>
          <w:szCs w:val="24"/>
        </w:rPr>
        <w:t>Supplementary Figure 5</w:t>
      </w:r>
      <w:r w:rsidR="00091DA3" w:rsidRPr="008C474F">
        <w:rPr>
          <w:rFonts w:ascii="Times New Roman" w:hAnsi="Times New Roman" w:cs="Times New Roman"/>
          <w:sz w:val="24"/>
          <w:szCs w:val="24"/>
        </w:rPr>
        <w:t xml:space="preserve">. AUC based on individual data (AUC1) </w:t>
      </w:r>
      <w:proofErr w:type="spellStart"/>
      <w:r w:rsidR="00091DA3" w:rsidRPr="008C474F">
        <w:rPr>
          <w:rFonts w:ascii="Times New Roman" w:hAnsi="Times New Roman" w:cs="Times New Roman"/>
          <w:sz w:val="24"/>
          <w:szCs w:val="24"/>
        </w:rPr>
        <w:t>v.s</w:t>
      </w:r>
      <w:proofErr w:type="spellEnd"/>
      <w:r w:rsidR="00091DA3" w:rsidRPr="008C474F">
        <w:rPr>
          <w:rFonts w:ascii="Times New Roman" w:hAnsi="Times New Roman" w:cs="Times New Roman"/>
          <w:sz w:val="24"/>
          <w:szCs w:val="24"/>
        </w:rPr>
        <w:t xml:space="preserve">. AUC based on </w:t>
      </w:r>
      <w:r w:rsidR="00843155" w:rsidRPr="008C474F">
        <w:rPr>
          <w:rFonts w:ascii="Times New Roman" w:hAnsi="Times New Roman" w:cs="Times New Roman"/>
          <w:sz w:val="24"/>
          <w:szCs w:val="24"/>
        </w:rPr>
        <w:t>SummaryAUC</w:t>
      </w:r>
      <w:r w:rsidR="00091DA3" w:rsidRPr="008C474F">
        <w:rPr>
          <w:rFonts w:ascii="Times New Roman" w:hAnsi="Times New Roman" w:cs="Times New Roman"/>
          <w:sz w:val="24"/>
          <w:szCs w:val="24"/>
        </w:rPr>
        <w:t xml:space="preserve"> (AUC2). We performed 100 simulations for each disease. </w:t>
      </w:r>
    </w:p>
    <w:p w14:paraId="219814D9" w14:textId="6F11BB11" w:rsidR="00CA732C" w:rsidRPr="008C474F" w:rsidRDefault="000D3DB7" w:rsidP="00CA732C">
      <w:pPr>
        <w:rPr>
          <w:rFonts w:ascii="Times New Roman" w:hAnsi="Times New Roman" w:cs="Times New Roman"/>
          <w:sz w:val="24"/>
          <w:szCs w:val="24"/>
        </w:rPr>
      </w:pPr>
      <w:r w:rsidRPr="008C474F">
        <w:rPr>
          <w:rFonts w:ascii="Times New Roman" w:hAnsi="Times New Roman" w:cs="Times New Roman"/>
          <w:noProof/>
          <w:sz w:val="24"/>
          <w:szCs w:val="24"/>
        </w:rPr>
        <w:lastRenderedPageBreak/>
        <w:drawing>
          <wp:inline distT="0" distB="0" distL="0" distR="0" wp14:anchorId="7EC160E4" wp14:editId="5BAEFC58">
            <wp:extent cx="5934710" cy="55257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710" cy="5525770"/>
                    </a:xfrm>
                    <a:prstGeom prst="rect">
                      <a:avLst/>
                    </a:prstGeom>
                    <a:noFill/>
                    <a:ln>
                      <a:noFill/>
                    </a:ln>
                  </pic:spPr>
                </pic:pic>
              </a:graphicData>
            </a:graphic>
          </wp:inline>
        </w:drawing>
      </w:r>
      <w:bookmarkStart w:id="1" w:name="_Hlk536621428"/>
      <w:r w:rsidR="00091DA3" w:rsidRPr="008C474F">
        <w:rPr>
          <w:rFonts w:ascii="Times New Roman" w:hAnsi="Times New Roman" w:cs="Times New Roman"/>
          <w:sz w:val="24"/>
          <w:szCs w:val="24"/>
        </w:rPr>
        <w:t xml:space="preserve">Supplementary Figure </w:t>
      </w:r>
      <w:bookmarkEnd w:id="1"/>
      <w:r w:rsidR="00843155" w:rsidRPr="008C474F">
        <w:rPr>
          <w:rFonts w:ascii="Times New Roman" w:hAnsi="Times New Roman" w:cs="Times New Roman"/>
          <w:sz w:val="24"/>
          <w:szCs w:val="24"/>
        </w:rPr>
        <w:t>6</w:t>
      </w:r>
      <w:r w:rsidR="00091DA3" w:rsidRPr="008C474F">
        <w:rPr>
          <w:rFonts w:ascii="Times New Roman" w:hAnsi="Times New Roman" w:cs="Times New Roman"/>
          <w:sz w:val="24"/>
          <w:szCs w:val="24"/>
        </w:rPr>
        <w:t xml:space="preserve">. Standard deviation of AUC estimator based on individual data (SD1, 10000 bootstrap) </w:t>
      </w:r>
      <w:proofErr w:type="spellStart"/>
      <w:r w:rsidR="00091DA3" w:rsidRPr="008C474F">
        <w:rPr>
          <w:rFonts w:ascii="Times New Roman" w:hAnsi="Times New Roman" w:cs="Times New Roman"/>
          <w:sz w:val="24"/>
          <w:szCs w:val="24"/>
        </w:rPr>
        <w:t>v.s</w:t>
      </w:r>
      <w:proofErr w:type="spellEnd"/>
      <w:r w:rsidR="00091DA3" w:rsidRPr="008C474F">
        <w:rPr>
          <w:rFonts w:ascii="Times New Roman" w:hAnsi="Times New Roman" w:cs="Times New Roman"/>
          <w:sz w:val="24"/>
          <w:szCs w:val="24"/>
        </w:rPr>
        <w:t xml:space="preserve">. SD based on </w:t>
      </w:r>
      <w:proofErr w:type="spellStart"/>
      <w:r w:rsidR="00091DA3" w:rsidRPr="008C474F">
        <w:rPr>
          <w:rFonts w:ascii="Times New Roman" w:hAnsi="Times New Roman" w:cs="Times New Roman"/>
          <w:sz w:val="24"/>
          <w:szCs w:val="24"/>
        </w:rPr>
        <w:t>SumamryAUC</w:t>
      </w:r>
      <w:proofErr w:type="spellEnd"/>
      <w:r w:rsidR="00091DA3" w:rsidRPr="008C474F">
        <w:rPr>
          <w:rFonts w:ascii="Times New Roman" w:hAnsi="Times New Roman" w:cs="Times New Roman"/>
          <w:sz w:val="24"/>
          <w:szCs w:val="24"/>
        </w:rPr>
        <w:t xml:space="preserve"> (SD2). We performed 100 simulations for each disease. </w:t>
      </w:r>
      <w:r w:rsidR="00CA732C" w:rsidRPr="008C474F">
        <w:rPr>
          <w:rFonts w:ascii="Times New Roman" w:hAnsi="Times New Roman" w:cs="Times New Roman"/>
          <w:sz w:val="24"/>
          <w:szCs w:val="24"/>
        </w:rPr>
        <w:t xml:space="preserve">We performed 100 simulations for each disease. </w:t>
      </w:r>
    </w:p>
    <w:p w14:paraId="62647EC7" w14:textId="77777777" w:rsidR="00091DA3" w:rsidRPr="008C474F" w:rsidRDefault="00091DA3" w:rsidP="00091DA3">
      <w:pPr>
        <w:rPr>
          <w:rFonts w:ascii="Times New Roman" w:hAnsi="Times New Roman" w:cs="Times New Roman"/>
          <w:sz w:val="24"/>
          <w:szCs w:val="24"/>
        </w:rPr>
      </w:pPr>
    </w:p>
    <w:p w14:paraId="4460901A" w14:textId="77777777" w:rsidR="00CA732C" w:rsidRPr="008C474F" w:rsidRDefault="00CA732C">
      <w:pPr>
        <w:rPr>
          <w:rFonts w:ascii="Times New Roman" w:hAnsi="Times New Roman" w:cs="Times New Roman"/>
          <w:sz w:val="24"/>
          <w:szCs w:val="24"/>
        </w:rPr>
      </w:pPr>
    </w:p>
    <w:p w14:paraId="4785204B" w14:textId="77777777" w:rsidR="00843155" w:rsidRPr="008C474F" w:rsidRDefault="00843155">
      <w:pPr>
        <w:rPr>
          <w:rFonts w:ascii="Times New Roman" w:hAnsi="Times New Roman" w:cs="Times New Roman"/>
          <w:sz w:val="24"/>
          <w:szCs w:val="24"/>
        </w:rPr>
      </w:pPr>
    </w:p>
    <w:p w14:paraId="5934B7D5" w14:textId="77777777" w:rsidR="00843155" w:rsidRPr="008C474F" w:rsidRDefault="00843155">
      <w:pPr>
        <w:rPr>
          <w:rFonts w:ascii="Times New Roman" w:hAnsi="Times New Roman" w:cs="Times New Roman"/>
          <w:sz w:val="24"/>
          <w:szCs w:val="24"/>
        </w:rPr>
      </w:pPr>
    </w:p>
    <w:p w14:paraId="567D575F" w14:textId="16426893" w:rsidR="00843155" w:rsidRPr="008C474F" w:rsidRDefault="00843155">
      <w:pPr>
        <w:rPr>
          <w:rFonts w:ascii="Times New Roman" w:hAnsi="Times New Roman" w:cs="Times New Roman"/>
          <w:sz w:val="24"/>
          <w:szCs w:val="24"/>
        </w:rPr>
      </w:pPr>
    </w:p>
    <w:p w14:paraId="0CB28A60" w14:textId="3873367A" w:rsidR="008F4D3D" w:rsidRPr="008C474F" w:rsidRDefault="008F4D3D">
      <w:pPr>
        <w:rPr>
          <w:rFonts w:ascii="Times New Roman" w:hAnsi="Times New Roman" w:cs="Times New Roman"/>
          <w:sz w:val="24"/>
          <w:szCs w:val="24"/>
        </w:rPr>
      </w:pPr>
    </w:p>
    <w:p w14:paraId="218DAE0E" w14:textId="77777777" w:rsidR="00CA732C" w:rsidRPr="008C474F" w:rsidRDefault="00CA732C" w:rsidP="002D1D28">
      <w:pPr>
        <w:pStyle w:val="EndNoteBibliography"/>
        <w:spacing w:after="0"/>
        <w:rPr>
          <w:rFonts w:ascii="Times New Roman" w:hAnsi="Times New Roman" w:cs="Times New Roman"/>
          <w:b/>
          <w:sz w:val="24"/>
          <w:szCs w:val="24"/>
        </w:rPr>
      </w:pPr>
      <w:r w:rsidRPr="008C474F">
        <w:rPr>
          <w:rFonts w:ascii="Times New Roman" w:hAnsi="Times New Roman" w:cs="Times New Roman"/>
          <w:b/>
          <w:sz w:val="24"/>
          <w:szCs w:val="24"/>
        </w:rPr>
        <w:lastRenderedPageBreak/>
        <w:t>Referenes</w:t>
      </w:r>
    </w:p>
    <w:p w14:paraId="535B210E" w14:textId="77777777" w:rsidR="00CA732C" w:rsidRPr="008C474F" w:rsidRDefault="00CA732C" w:rsidP="002D1D28">
      <w:pPr>
        <w:pStyle w:val="EndNoteBibliography"/>
        <w:spacing w:after="0"/>
        <w:rPr>
          <w:rFonts w:ascii="Times New Roman" w:hAnsi="Times New Roman" w:cs="Times New Roman"/>
          <w:sz w:val="24"/>
          <w:szCs w:val="24"/>
        </w:rPr>
      </w:pPr>
    </w:p>
    <w:p w14:paraId="3635602F" w14:textId="0015E1A6"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 xml:space="preserve">Law, M.H., et al. Genome-wide meta-analysis identifies five new susceptibility loci for cutaneous malignant melanoma. </w:t>
      </w:r>
      <w:r w:rsidRPr="008C474F">
        <w:rPr>
          <w:rFonts w:ascii="Times New Roman" w:hAnsi="Times New Roman" w:cs="Times New Roman"/>
          <w:i/>
          <w:sz w:val="24"/>
          <w:szCs w:val="24"/>
        </w:rPr>
        <w:t>Nat</w:t>
      </w:r>
      <w:r w:rsidRPr="008C474F">
        <w:rPr>
          <w:rFonts w:ascii="Times New Roman" w:hAnsi="Times New Roman" w:cs="Times New Roman"/>
          <w:i/>
          <w:sz w:val="24"/>
          <w:szCs w:val="24"/>
        </w:rPr>
        <w:t>.</w:t>
      </w:r>
      <w:r w:rsidRPr="008C474F">
        <w:rPr>
          <w:rFonts w:ascii="Times New Roman" w:hAnsi="Times New Roman" w:cs="Times New Roman"/>
          <w:i/>
          <w:sz w:val="24"/>
          <w:szCs w:val="24"/>
        </w:rPr>
        <w:t xml:space="preserve"> Genet</w:t>
      </w:r>
      <w:r w:rsidRPr="008C474F">
        <w:rPr>
          <w:rFonts w:ascii="Times New Roman" w:hAnsi="Times New Roman" w:cs="Times New Roman"/>
          <w:i/>
          <w:sz w:val="24"/>
          <w:szCs w:val="24"/>
        </w:rPr>
        <w:t>.</w:t>
      </w:r>
      <w:r w:rsidRPr="008C474F">
        <w:rPr>
          <w:rFonts w:ascii="Times New Roman" w:hAnsi="Times New Roman" w:cs="Times New Roman"/>
          <w:sz w:val="24"/>
          <w:szCs w:val="24"/>
        </w:rPr>
        <w:t xml:space="preserve"> 2015;47(9):987-</w:t>
      </w:r>
      <w:r w:rsidRPr="008C474F">
        <w:rPr>
          <w:rFonts w:ascii="Times New Roman" w:hAnsi="Times New Roman" w:cs="Times New Roman"/>
          <w:sz w:val="24"/>
          <w:szCs w:val="24"/>
        </w:rPr>
        <w:t>995</w:t>
      </w:r>
      <w:r w:rsidRPr="008C474F">
        <w:rPr>
          <w:rFonts w:ascii="Times New Roman" w:hAnsi="Times New Roman" w:cs="Times New Roman"/>
          <w:sz w:val="24"/>
          <w:szCs w:val="24"/>
        </w:rPr>
        <w:t>.</w:t>
      </w:r>
    </w:p>
    <w:p w14:paraId="38B7CCDB" w14:textId="6A230CCC"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Lee, S.H., et al. Genetic relationship between five psychiatric disorders estimated from genome-wide SNPs. Nature Genetics 2013;45(9):984-</w:t>
      </w:r>
      <w:r w:rsidR="005072FB" w:rsidRPr="008C474F">
        <w:rPr>
          <w:rFonts w:ascii="Times New Roman" w:hAnsi="Times New Roman" w:cs="Times New Roman"/>
          <w:sz w:val="24"/>
          <w:szCs w:val="24"/>
        </w:rPr>
        <w:t>994</w:t>
      </w:r>
      <w:r w:rsidRPr="008C474F">
        <w:rPr>
          <w:rFonts w:ascii="Times New Roman" w:hAnsi="Times New Roman" w:cs="Times New Roman"/>
          <w:sz w:val="24"/>
          <w:szCs w:val="24"/>
        </w:rPr>
        <w:t>.</w:t>
      </w:r>
    </w:p>
    <w:p w14:paraId="7E3AC8F8" w14:textId="60DE832B"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Okada, Y., et al. Genetics of rheumatoid arthritis contributes to biology and drug discovery. Nature 2014;506(7488):376-</w:t>
      </w:r>
      <w:r w:rsidRPr="008C474F">
        <w:rPr>
          <w:rFonts w:ascii="Times New Roman" w:hAnsi="Times New Roman" w:cs="Times New Roman"/>
          <w:sz w:val="24"/>
          <w:szCs w:val="24"/>
        </w:rPr>
        <w:t>381</w:t>
      </w:r>
      <w:r w:rsidRPr="008C474F">
        <w:rPr>
          <w:rFonts w:ascii="Times New Roman" w:hAnsi="Times New Roman" w:cs="Times New Roman"/>
          <w:sz w:val="24"/>
          <w:szCs w:val="24"/>
        </w:rPr>
        <w:t>.</w:t>
      </w:r>
    </w:p>
    <w:p w14:paraId="303CC303" w14:textId="471E86FF" w:rsidR="008F4D3D" w:rsidRPr="008C474F" w:rsidRDefault="008F4D3D" w:rsidP="008F4D3D">
      <w:pPr>
        <w:rPr>
          <w:rFonts w:ascii="Times New Roman" w:hAnsi="Times New Roman" w:cs="Times New Roman"/>
          <w:sz w:val="24"/>
          <w:szCs w:val="24"/>
        </w:rPr>
      </w:pPr>
      <w:proofErr w:type="spellStart"/>
      <w:r w:rsidRPr="008C474F">
        <w:rPr>
          <w:rFonts w:ascii="Times New Roman" w:hAnsi="Times New Roman" w:cs="Times New Roman"/>
          <w:sz w:val="24"/>
          <w:szCs w:val="24"/>
        </w:rPr>
        <w:t>Onengut-Gumuscu</w:t>
      </w:r>
      <w:proofErr w:type="spellEnd"/>
      <w:r w:rsidRPr="008C474F">
        <w:rPr>
          <w:rFonts w:ascii="Times New Roman" w:hAnsi="Times New Roman" w:cs="Times New Roman"/>
          <w:sz w:val="24"/>
          <w:szCs w:val="24"/>
        </w:rPr>
        <w:t>, S., et al. Fine mapping of type 1 diabetes susceptibility loci and evidence for colocalization of causal variants with lymphoid gene enhancers. Nature Genetics 2015;47(4):381-</w:t>
      </w:r>
      <w:r w:rsidRPr="008C474F">
        <w:rPr>
          <w:rFonts w:ascii="Times New Roman" w:hAnsi="Times New Roman" w:cs="Times New Roman"/>
          <w:sz w:val="24"/>
          <w:szCs w:val="24"/>
        </w:rPr>
        <w:t>386</w:t>
      </w:r>
      <w:r w:rsidRPr="008C474F">
        <w:rPr>
          <w:rFonts w:ascii="Times New Roman" w:hAnsi="Times New Roman" w:cs="Times New Roman"/>
          <w:sz w:val="24"/>
          <w:szCs w:val="24"/>
        </w:rPr>
        <w:t>.</w:t>
      </w:r>
    </w:p>
    <w:p w14:paraId="261219BE" w14:textId="77777777" w:rsidR="008F4D3D" w:rsidRPr="008C474F" w:rsidRDefault="008F4D3D" w:rsidP="008F4D3D">
      <w:pPr>
        <w:rPr>
          <w:rFonts w:ascii="Times New Roman" w:hAnsi="Times New Roman" w:cs="Times New Roman"/>
          <w:sz w:val="24"/>
          <w:szCs w:val="24"/>
        </w:rPr>
      </w:pPr>
      <w:proofErr w:type="spellStart"/>
      <w:r w:rsidRPr="008C474F">
        <w:rPr>
          <w:rFonts w:ascii="Times New Roman" w:hAnsi="Times New Roman" w:cs="Times New Roman"/>
          <w:sz w:val="24"/>
          <w:szCs w:val="24"/>
        </w:rPr>
        <w:t>Sawcer</w:t>
      </w:r>
      <w:proofErr w:type="spellEnd"/>
      <w:r w:rsidRPr="008C474F">
        <w:rPr>
          <w:rFonts w:ascii="Times New Roman" w:hAnsi="Times New Roman" w:cs="Times New Roman"/>
          <w:sz w:val="24"/>
          <w:szCs w:val="24"/>
        </w:rPr>
        <w:t>, S., et al. Genetic risk and a primary role for cell-mediated immune mechanisms in multiple sclerosis. Nature 2011;476(7359):214-219.</w:t>
      </w:r>
    </w:p>
    <w:p w14:paraId="1F7244B9" w14:textId="3EE632D4"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Schumacher, F.R., et al. Association analyses of more than 140,000 men identify 63 new prostate cancer susceptibility loci. Nature Genetics 2018;50(7):928-</w:t>
      </w:r>
      <w:r w:rsidR="005072FB" w:rsidRPr="008C474F">
        <w:rPr>
          <w:rFonts w:ascii="Times New Roman" w:hAnsi="Times New Roman" w:cs="Times New Roman"/>
          <w:sz w:val="24"/>
          <w:szCs w:val="24"/>
        </w:rPr>
        <w:t>936</w:t>
      </w:r>
      <w:r w:rsidRPr="008C474F">
        <w:rPr>
          <w:rFonts w:ascii="Times New Roman" w:hAnsi="Times New Roman" w:cs="Times New Roman"/>
          <w:sz w:val="24"/>
          <w:szCs w:val="24"/>
        </w:rPr>
        <w:t>.</w:t>
      </w:r>
    </w:p>
    <w:p w14:paraId="7DC3379B" w14:textId="03C17417" w:rsidR="008F4D3D" w:rsidRPr="008C474F" w:rsidRDefault="008F4D3D" w:rsidP="008F4D3D">
      <w:pPr>
        <w:rPr>
          <w:rFonts w:ascii="Times New Roman" w:hAnsi="Times New Roman" w:cs="Times New Roman"/>
          <w:sz w:val="24"/>
          <w:szCs w:val="24"/>
        </w:rPr>
      </w:pPr>
      <w:proofErr w:type="spellStart"/>
      <w:r w:rsidRPr="008C474F">
        <w:rPr>
          <w:rFonts w:ascii="Times New Roman" w:hAnsi="Times New Roman" w:cs="Times New Roman"/>
          <w:sz w:val="24"/>
          <w:szCs w:val="24"/>
        </w:rPr>
        <w:t>Sleegers</w:t>
      </w:r>
      <w:proofErr w:type="spellEnd"/>
      <w:r w:rsidRPr="008C474F">
        <w:rPr>
          <w:rFonts w:ascii="Times New Roman" w:hAnsi="Times New Roman" w:cs="Times New Roman"/>
          <w:sz w:val="24"/>
          <w:szCs w:val="24"/>
        </w:rPr>
        <w:t xml:space="preserve">, K., et al. A 22-single nucleotide polymorphism Alzheimer's disease risk score correlates with family history, onset age, and cerebrospinal fluid. </w:t>
      </w:r>
      <w:proofErr w:type="spellStart"/>
      <w:r w:rsidRPr="008C474F">
        <w:rPr>
          <w:rFonts w:ascii="Times New Roman" w:hAnsi="Times New Roman" w:cs="Times New Roman"/>
          <w:sz w:val="24"/>
          <w:szCs w:val="24"/>
        </w:rPr>
        <w:t>Alzheimers</w:t>
      </w:r>
      <w:proofErr w:type="spellEnd"/>
      <w:r w:rsidRPr="008C474F">
        <w:rPr>
          <w:rFonts w:ascii="Times New Roman" w:hAnsi="Times New Roman" w:cs="Times New Roman"/>
          <w:sz w:val="24"/>
          <w:szCs w:val="24"/>
        </w:rPr>
        <w:t xml:space="preserve"> Dement 2015;11(12):1452-1460.</w:t>
      </w:r>
    </w:p>
    <w:p w14:paraId="453943AC" w14:textId="6892DC04"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Strange, A., et al. A genome-wide association study identifies new psoriasis susceptibility loci and an interaction between HLA-C and ERAP1. Nature Genetics 2010;42(11):985-</w:t>
      </w:r>
      <w:r w:rsidR="005072FB" w:rsidRPr="008C474F">
        <w:rPr>
          <w:rFonts w:ascii="Times New Roman" w:hAnsi="Times New Roman" w:cs="Times New Roman"/>
          <w:sz w:val="24"/>
          <w:szCs w:val="24"/>
        </w:rPr>
        <w:t>990</w:t>
      </w:r>
      <w:r w:rsidRPr="008C474F">
        <w:rPr>
          <w:rFonts w:ascii="Times New Roman" w:hAnsi="Times New Roman" w:cs="Times New Roman"/>
          <w:sz w:val="24"/>
          <w:szCs w:val="24"/>
        </w:rPr>
        <w:t>.</w:t>
      </w:r>
    </w:p>
    <w:p w14:paraId="7054D82C" w14:textId="1E919492" w:rsidR="008F4D3D" w:rsidRPr="008C474F" w:rsidRDefault="008F4D3D" w:rsidP="008F4D3D">
      <w:pPr>
        <w:rPr>
          <w:rFonts w:ascii="Times New Roman" w:hAnsi="Times New Roman" w:cs="Times New Roman"/>
          <w:sz w:val="24"/>
          <w:szCs w:val="24"/>
        </w:rPr>
      </w:pPr>
      <w:r w:rsidRPr="008C474F">
        <w:rPr>
          <w:rFonts w:ascii="Times New Roman" w:hAnsi="Times New Roman" w:cs="Times New Roman"/>
          <w:sz w:val="24"/>
          <w:szCs w:val="24"/>
        </w:rPr>
        <w:t>Wang, Z.M., et al. Meta-analysis of five genome-wide association studies identifies multiple new loci associated with testicular germ cell tumor. Nature Genetics 2017;49(7):1141-</w:t>
      </w:r>
      <w:r w:rsidR="005072FB" w:rsidRPr="008C474F">
        <w:rPr>
          <w:rFonts w:ascii="Times New Roman" w:hAnsi="Times New Roman" w:cs="Times New Roman"/>
          <w:sz w:val="24"/>
          <w:szCs w:val="24"/>
        </w:rPr>
        <w:t>1147</w:t>
      </w:r>
      <w:r w:rsidRPr="008C474F">
        <w:rPr>
          <w:rFonts w:ascii="Times New Roman" w:hAnsi="Times New Roman" w:cs="Times New Roman"/>
          <w:sz w:val="24"/>
          <w:szCs w:val="24"/>
        </w:rPr>
        <w:t>.</w:t>
      </w:r>
    </w:p>
    <w:sectPr w:rsidR="008F4D3D" w:rsidRPr="008C4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informatics&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dwr0p9wx2z2p7e5dftx2dz0f0d02rze2xww&quot;&gt;Ref&lt;record-ids&gt;&lt;item&gt;568&lt;/item&gt;&lt;item&gt;779&lt;/item&gt;&lt;item&gt;780&lt;/item&gt;&lt;item&gt;783&lt;/item&gt;&lt;item&gt;784&lt;/item&gt;&lt;item&gt;785&lt;/item&gt;&lt;item&gt;786&lt;/item&gt;&lt;item&gt;787&lt;/item&gt;&lt;item&gt;788&lt;/item&gt;&lt;/record-ids&gt;&lt;/item&gt;&lt;/Libraries&gt;"/>
  </w:docVars>
  <w:rsids>
    <w:rsidRoot w:val="00BD65BE"/>
    <w:rsid w:val="00091DA3"/>
    <w:rsid w:val="000D3DB7"/>
    <w:rsid w:val="002D1D28"/>
    <w:rsid w:val="003E376D"/>
    <w:rsid w:val="004658A8"/>
    <w:rsid w:val="005072FB"/>
    <w:rsid w:val="00843155"/>
    <w:rsid w:val="008C474F"/>
    <w:rsid w:val="008F4D3D"/>
    <w:rsid w:val="00A2281C"/>
    <w:rsid w:val="00A34DD3"/>
    <w:rsid w:val="00BD65BE"/>
    <w:rsid w:val="00BF1887"/>
    <w:rsid w:val="00C7307F"/>
    <w:rsid w:val="00CA73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95A3"/>
  <w15:chartTrackingRefBased/>
  <w15:docId w15:val="{FCB44A5F-12C3-438E-BEF4-DB7B18E0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A2281C"/>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A2281C"/>
    <w:rPr>
      <w:rFonts w:ascii="Calibri" w:hAnsi="Calibri"/>
      <w:noProof/>
    </w:rPr>
  </w:style>
  <w:style w:type="paragraph" w:customStyle="1" w:styleId="EndNoteBibliography">
    <w:name w:val="EndNote Bibliography"/>
    <w:basedOn w:val="Normal"/>
    <w:link w:val="EndNoteBibliographyChar"/>
    <w:rsid w:val="00A2281C"/>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A2281C"/>
    <w:rPr>
      <w:rFonts w:ascii="Calibri" w:hAnsi="Calibri"/>
      <w:noProof/>
    </w:rPr>
  </w:style>
  <w:style w:type="character" w:styleId="PlaceholderText">
    <w:name w:val="Placeholder Text"/>
    <w:basedOn w:val="DefaultParagraphFont"/>
    <w:uiPriority w:val="99"/>
    <w:semiHidden/>
    <w:rsid w:val="008F4D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6616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126</TotalTime>
  <Pages>7</Pages>
  <Words>529</Words>
  <Characters>3020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Jianxin (NIH/NCI) [E]</dc:creator>
  <cp:keywords/>
  <dc:description/>
  <cp:lastModifiedBy>Jianxin Shi</cp:lastModifiedBy>
  <cp:revision>10</cp:revision>
  <dcterms:created xsi:type="dcterms:W3CDTF">2018-06-04T17:12:00Z</dcterms:created>
  <dcterms:modified xsi:type="dcterms:W3CDTF">2019-01-31T03:43:00Z</dcterms:modified>
</cp:coreProperties>
</file>