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sz w:val="48"/>
          <w:szCs w:val="48"/>
        </w:rPr>
        <w:t xml:space="preserve">RL-Cleanse: Learned Sequential Correction of Noisy IoT Sensor Streams Under a Strict Online Constraint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center"/>
            </w:pPr>
            <w:r>
              <w:rPr>
                <w:rFonts w:ascii="Times New Roman" w:cs="Times New Roman" w:eastAsia="Times New Roman" w:hAnsi="Times New Roman"/>
                <w:sz w:val="22"/>
                <w:szCs w:val="22"/>
              </w:rPr>
              <w:t xml:space="preserve">Anubhav Kiroula</w:t>
            </w:r>
          </w:p>
          <w:p>
            <w:pPr>
              <w:spacing w:after="0"/>
              <w:jc w:val="center"/>
            </w:pPr>
            <w:r>
              <w:rPr>
                <w:rFonts w:ascii="Times New Roman" w:cs="Times New Roman" w:eastAsia="Times New Roman" w:hAnsi="Times New Roman"/>
                <w:i/>
                <w:iCs/>
                <w:sz w:val="18"/>
                <w:szCs w:val="18"/>
              </w:rPr>
              <w:t xml:space="preserve">Dept. of Computer Science and Engineering</w:t>
            </w:r>
          </w:p>
          <w:p>
            <w:pPr>
              <w:spacing w:after="0"/>
              <w:jc w:val="center"/>
            </w:pPr>
            <w:r>
              <w:rPr>
                <w:rFonts w:ascii="Times New Roman" w:cs="Times New Roman" w:eastAsia="Times New Roman" w:hAnsi="Times New Roman"/>
                <w:i/>
                <w:iCs/>
                <w:sz w:val="18"/>
                <w:szCs w:val="18"/>
              </w:rPr>
              <w:t xml:space="preserve">Graphic Era Hill University</w:t>
            </w:r>
          </w:p>
          <w:p>
            <w:pPr>
              <w:spacing w:after="0"/>
              <w:jc w:val="center"/>
            </w:pPr>
            <w:r>
              <w:rPr>
                <w:rFonts w:ascii="Times New Roman" w:cs="Times New Roman" w:eastAsia="Times New Roman" w:hAnsi="Times New Roman"/>
                <w:i/>
                <w:iCs/>
                <w:sz w:val="18"/>
                <w:szCs w:val="18"/>
              </w:rPr>
              <w:t xml:space="preserve">Dehradun, India</w:t>
            </w:r>
          </w:p>
          <w:p>
            <w:pPr>
              <w:spacing w:after="0"/>
              <w:jc w:val="center"/>
            </w:pPr>
            <w:r>
              <w:rPr>
                <w:rFonts w:ascii="Times New Roman" w:cs="Times New Roman" w:eastAsia="Times New Roman" w:hAnsi="Times New Roman"/>
                <w:i w:val="false"/>
                <w:iCs w:val="false"/>
                <w:sz w:val="18"/>
                <w:szCs w:val="18"/>
              </w:rPr>
              <w:t xml:space="preserve">anubhavkiroula1@gmail.com</w:t>
            </w:r>
          </w:p>
          <w:p>
            <w:pPr>
              <w:spacing w:after="0"/>
              <w:jc w:val="center"/>
            </w:pPr>
            <w:r>
              <w:rPr>
                <w:rFonts w:ascii="Times New Roman" w:cs="Times New Roman" w:eastAsia="Times New Roman" w:hAnsi="Times New Roman"/>
                <w:i w:val="false"/>
                <w:iCs w:val="false"/>
                <w:sz w:val="18"/>
                <w:szCs w:val="18"/>
              </w:rPr>
              <w:t xml:space="preserve">ORCID: 0009-0008-6327-5390</w:t>
            </w:r>
          </w:p>
        </w:tc>
        <w:tc>
          <w:tcPr>
            <w:tcW w:type="dxa" w:w="3120"/>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center"/>
            </w:pPr>
            <w:r>
              <w:rPr>
                <w:rFonts w:ascii="Times New Roman" w:cs="Times New Roman" w:eastAsia="Times New Roman" w:hAnsi="Times New Roman"/>
                <w:sz w:val="22"/>
                <w:szCs w:val="22"/>
              </w:rPr>
              <w:t xml:space="preserve">Chandradeep Bhatt</w:t>
            </w:r>
          </w:p>
          <w:p>
            <w:pPr>
              <w:spacing w:after="0"/>
              <w:jc w:val="center"/>
            </w:pPr>
            <w:r>
              <w:rPr>
                <w:rFonts w:ascii="Times New Roman" w:cs="Times New Roman" w:eastAsia="Times New Roman" w:hAnsi="Times New Roman"/>
                <w:i/>
                <w:iCs/>
                <w:sz w:val="18"/>
                <w:szCs w:val="18"/>
              </w:rPr>
              <w:t xml:space="preserve">Dept. of Computer Science and Engineering</w:t>
            </w:r>
          </w:p>
          <w:p>
            <w:pPr>
              <w:spacing w:after="0"/>
              <w:jc w:val="center"/>
            </w:pPr>
            <w:r>
              <w:rPr>
                <w:rFonts w:ascii="Times New Roman" w:cs="Times New Roman" w:eastAsia="Times New Roman" w:hAnsi="Times New Roman"/>
                <w:i/>
                <w:iCs/>
                <w:sz w:val="18"/>
                <w:szCs w:val="18"/>
              </w:rPr>
              <w:t xml:space="preserve">Graphic Era Hill University</w:t>
            </w:r>
          </w:p>
          <w:p>
            <w:pPr>
              <w:spacing w:after="0"/>
              <w:jc w:val="center"/>
            </w:pPr>
            <w:r>
              <w:rPr>
                <w:rFonts w:ascii="Times New Roman" w:cs="Times New Roman" w:eastAsia="Times New Roman" w:hAnsi="Times New Roman"/>
                <w:i/>
                <w:iCs/>
                <w:sz w:val="18"/>
                <w:szCs w:val="18"/>
              </w:rPr>
              <w:t xml:space="preserve">Dehradun, India</w:t>
            </w:r>
          </w:p>
          <w:p>
            <w:pPr>
              <w:spacing w:after="0"/>
              <w:jc w:val="center"/>
            </w:pPr>
            <w:r>
              <w:rPr>
                <w:rFonts w:ascii="Times New Roman" w:cs="Times New Roman" w:eastAsia="Times New Roman" w:hAnsi="Times New Roman"/>
                <w:i w:val="false"/>
                <w:iCs w:val="false"/>
                <w:sz w:val="18"/>
                <w:szCs w:val="18"/>
              </w:rPr>
              <w:t xml:space="preserve">bhattchandradeep@gmail.com</w:t>
            </w:r>
          </w:p>
          <w:p>
            <w:pPr>
              <w:spacing w:after="0"/>
              <w:jc w:val="center"/>
            </w:pPr>
            <w:r>
              <w:rPr>
                <w:rFonts w:ascii="Times New Roman" w:cs="Times New Roman" w:eastAsia="Times New Roman" w:hAnsi="Times New Roman"/>
                <w:i w:val="false"/>
                <w:iCs w:val="false"/>
                <w:sz w:val="18"/>
                <w:szCs w:val="18"/>
              </w:rPr>
              <w:t xml:space="preserve">ORCID: 0000-0002-7128-5862</w:t>
            </w:r>
          </w:p>
        </w:tc>
        <w:tc>
          <w:tcPr>
            <w:tcW w:type="dxa" w:w="3120"/>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center"/>
            </w:pPr>
            <w:r>
              <w:rPr>
                <w:rFonts w:ascii="Times New Roman" w:cs="Times New Roman" w:eastAsia="Times New Roman" w:hAnsi="Times New Roman"/>
                <w:sz w:val="22"/>
                <w:szCs w:val="22"/>
              </w:rPr>
              <w:t xml:space="preserve">Anupam Singh</w:t>
            </w:r>
          </w:p>
          <w:p>
            <w:pPr>
              <w:spacing w:after="0"/>
              <w:jc w:val="center"/>
            </w:pPr>
            <w:r>
              <w:rPr>
                <w:rFonts w:ascii="Times New Roman" w:cs="Times New Roman" w:eastAsia="Times New Roman" w:hAnsi="Times New Roman"/>
                <w:i/>
                <w:iCs/>
                <w:sz w:val="18"/>
                <w:szCs w:val="18"/>
              </w:rPr>
              <w:t xml:space="preserve">Dept. of Computer Science and Engineering</w:t>
            </w:r>
          </w:p>
          <w:p>
            <w:pPr>
              <w:spacing w:after="0"/>
              <w:jc w:val="center"/>
            </w:pPr>
            <w:r>
              <w:rPr>
                <w:rFonts w:ascii="Times New Roman" w:cs="Times New Roman" w:eastAsia="Times New Roman" w:hAnsi="Times New Roman"/>
                <w:i/>
                <w:iCs/>
                <w:sz w:val="18"/>
                <w:szCs w:val="18"/>
              </w:rPr>
              <w:t xml:space="preserve">Graphic Era Hill University</w:t>
            </w:r>
          </w:p>
          <w:p>
            <w:pPr>
              <w:spacing w:after="0"/>
              <w:jc w:val="center"/>
            </w:pPr>
            <w:r>
              <w:rPr>
                <w:rFonts w:ascii="Times New Roman" w:cs="Times New Roman" w:eastAsia="Times New Roman" w:hAnsi="Times New Roman"/>
                <w:i/>
                <w:iCs/>
                <w:sz w:val="18"/>
                <w:szCs w:val="18"/>
              </w:rPr>
              <w:t xml:space="preserve">Dehradun, India</w:t>
            </w:r>
          </w:p>
          <w:p>
            <w:pPr>
              <w:spacing w:after="0"/>
              <w:jc w:val="center"/>
            </w:pPr>
            <w:r>
              <w:rPr>
                <w:rFonts w:ascii="Times New Roman" w:cs="Times New Roman" w:eastAsia="Times New Roman" w:hAnsi="Times New Roman"/>
                <w:i w:val="false"/>
                <w:iCs w:val="false"/>
                <w:sz w:val="18"/>
                <w:szCs w:val="18"/>
              </w:rPr>
              <w:t xml:space="preserve">anupamsingh@gehu.ac.in</w:t>
            </w:r>
          </w:p>
          <w:p>
            <w:pPr>
              <w:spacing w:after="0"/>
              <w:jc w:val="center"/>
            </w:pPr>
            <w:r>
              <w:rPr>
                <w:rFonts w:ascii="Times New Roman" w:cs="Times New Roman" w:eastAsia="Times New Roman" w:hAnsi="Times New Roman"/>
                <w:i w:val="false"/>
                <w:iCs w:val="false"/>
                <w:sz w:val="18"/>
                <w:szCs w:val="18"/>
              </w:rPr>
              <w:t xml:space="preserve">ORCID: 0000-0002-3242-5383</w:t>
            </w:r>
          </w:p>
        </w:tc>
      </w:tr>
    </w:tbl>
    <w:p>
      <w:pPr>
        <w:spacing w:after="200"/>
        <w:sectPr>
          <w:pgSz w:w="12240" w:h="15840" w:orient="portrait"/>
          <w:pgMar w:top="1080" w:right="900" w:bottom="1440" w:left="900" w:header="708" w:footer="708" w:gutter="0"/>
          <w:pgNumType/>
          <w:cols w:num="1"/>
          <w:docGrid w:linePitch="360"/>
        </w:sectPr>
      </w:pPr>
    </w:p>
    <w:p>
      <w:pPr>
        <w:spacing w:after="60" w:line="240"/>
        <w:ind w:firstLine="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sz w:val="18"/>
          <w:szCs w:val="18"/>
        </w:rPr>
        <w:t xml:space="preserve">Sensor streams at the IoT edge arrive one reading at a time, and a device that must emit a corrected value immediately cannot buffer the future. This paper asks whether a learned correction policy outperforms static rule-based filtering under that strictly causal constraint, and measures what the constraint itself costs. We formulate single-channel stream correction as a Markov decision process over a nineteen-dimensional scale-relative observation assembled from the current packet and five retained values, with six discrete corrective actions, and train a Double Deep Q-Network on 9,357 hourly readings from the UCI Air Quality multisensor record. Five fault families are injected into a held-out chronological test split under a published corruption model, and every method is scored on identical windows through a single metric implementation. We report three findings. First, the online constraint is an information barrier and not an inconvenience: a training-split grid search over the rule filter’s rejection threshold is monotone in the threshold, so the calibrated filter degenerates to pass-through and is bit-identical to inaction on all 150 test windows. Second, the learned policy reduces mean absolute error to 0.2002 against 0.2170 for the calibrated filter and 0.4811 for a conventional Hampel cut-off, and a paired Wilcoxon signed-rank test confirms the advantage over the conventional filter on every fault family (pooled p = 1.6×10⁻¹⁷). Third, and against the headline, the gain is carried by a minority of windows: pooled across families the mean paired difference is −0.0167 with a bootstrap 95% confidence interval of [−0.0277, −0.0062], yet the median difference is +0.0008 and the signed-rank test is not significant (p = 0.49). The policy improves spike and mixed-fault windows significantly, is indistinguishable from inaction on drift, and significantly damages the two families whose uncorrected error is already near zero. Action-trace analysis shows the mechanism is learned selective abstention: the policy does nothing on 85–97% of samples and applies bounded partial corrections on the remainder, rather than attempting the accept-or-reject classification that the causal constraint makes ill-posed. We report the negative results alongside the positive ones and identify the missing action cost in the reward as the specific cause of the over-correction.</w:t>
      </w:r>
    </w:p>
    <w:p>
      <w:pPr>
        <w:spacing w:after="160" w:line="240"/>
        <w:ind w:firstLine="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sz w:val="18"/>
          <w:szCs w:val="18"/>
        </w:rPr>
        <w:t xml:space="preserve">Reinforcement learning, deep Q-network, Internet of Things, sensor data cleaning, streaming filtering, causal inference constraint, edge computing, anomaly correction.</w:t>
      </w:r>
    </w:p>
    <w:p>
      <w:pPr>
        <w:spacing w:after="100" w:before="200"/>
        <w:jc w:val="center"/>
      </w:pPr>
      <w:r>
        <w:rPr>
          <w:rFonts w:ascii="Times New Roman" w:cs="Times New Roman" w:eastAsia="Times New Roman" w:hAnsi="Times New Roman"/>
          <w:sz w:val="20"/>
          <w:szCs w:val="20"/>
        </w:rPr>
        <w:t xml:space="preserve">I.  INTRODUCTION</w:t>
      </w:r>
    </w:p>
    <w:p>
      <w:pPr>
        <w:spacing w:after="60" w:line="240"/>
        <w:ind w:firstLine="288"/>
        <w:jc w:val="both"/>
      </w:pPr>
      <w:r>
        <w:rPr>
          <w:rFonts w:ascii="Times New Roman" w:cs="Times New Roman" w:eastAsia="Times New Roman" w:hAnsi="Times New Roman"/>
          <w:sz w:val="20"/>
          <w:szCs w:val="20"/>
        </w:rPr>
        <w:t xml:space="preserve">Deployed IoT sensing nodes produce telemetry that is corrupted before it is ever analysed. Electrical transients, chemical and thermal degradation of the sensing element, lost wireless packets and network retransmission glitches all leave characteristic signatures in the record, and downstream analytics inherit every one of them. Cleaning that record is therefore a precondition for the inference built on top of it, not an afterthought.</w:t>
      </w:r>
    </w:p>
    <w:p>
      <w:pPr>
        <w:spacing w:after="60" w:line="240"/>
        <w:ind w:firstLine="288"/>
        <w:jc w:val="both"/>
      </w:pPr>
      <w:r>
        <w:rPr>
          <w:rFonts w:ascii="Times New Roman" w:cs="Times New Roman" w:eastAsia="Times New Roman" w:hAnsi="Times New Roman"/>
          <w:sz w:val="20"/>
          <w:szCs w:val="20"/>
        </w:rPr>
        <w:t xml:space="preserve">Most published cleaning pipelines, however, operate in a setting that edge deployment does not provide. They assume the batch is available: the full series can be read, statistics computed over it, and each suspect sample judged against both its past and its future. A gateway that must forward a corrected reading the moment it arrives has no such luxury. At time t it holds the current packet, whatever it has chosen to retain, and nothing else.</w:t>
      </w:r>
    </w:p>
    <w:p>
      <w:pPr>
        <w:spacing w:after="60" w:line="240"/>
        <w:ind w:firstLine="288"/>
        <w:jc w:val="both"/>
      </w:pPr>
      <w:r>
        <w:rPr>
          <w:rFonts w:ascii="Times New Roman" w:cs="Times New Roman" w:eastAsia="Times New Roman" w:hAnsi="Times New Roman"/>
          <w:sz w:val="20"/>
          <w:szCs w:val="20"/>
        </w:rPr>
        <w:t xml:space="preserve">That constraint is not merely a reduction in available context. It changes what is identifiable. Consider a single-sample spike and the first sample of a genuine step change in the underlying process. At the instant each arrives, they are the same observation: a large innovation relative to the recent baseline. They separate only at t+1, when one reverts to the prior level and the other does not. A causal filter must commit before that evidence exists. This is a property of the information available, not a deficiency of any particular filter design, and it bounds what every online method can achieve.</w:t>
      </w:r>
    </w:p>
    <w:p>
      <w:pPr>
        <w:spacing w:after="60" w:line="240"/>
        <w:ind w:firstLine="288"/>
        <w:jc w:val="both"/>
      </w:pPr>
      <w:r>
        <w:rPr>
          <w:rFonts w:ascii="Times New Roman" w:cs="Times New Roman" w:eastAsia="Times New Roman" w:hAnsi="Times New Roman"/>
          <w:sz w:val="20"/>
          <w:szCs w:val="20"/>
        </w:rPr>
        <w:t xml:space="preserve">This paper asks a narrow and answerable question:</w:t>
      </w:r>
    </w:p>
    <w:p>
      <w:pPr>
        <w:spacing w:after="60" w:line="240"/>
        <w:ind w:left="215" w:firstLine="0"/>
        <w:jc w:val="both"/>
      </w:pPr>
      <w:r>
        <w:rPr>
          <w:rFonts w:ascii="Times New Roman" w:cs="Times New Roman" w:eastAsia="Times New Roman" w:hAnsi="Times New Roman"/>
          <w:i/>
          <w:iCs/>
          <w:sz w:val="20"/>
          <w:szCs w:val="20"/>
        </w:rPr>
        <w:t xml:space="preserve">Does a learned reinforcement-learning correction policy outperform static rule-based filtering when correcting noisy sensor readings under a strictly online, sequential constraint, in which the agent observes one reading at a time and cannot access the full batch?</w:t>
      </w:r>
    </w:p>
    <w:p>
      <w:pPr>
        <w:spacing w:after="100" w:line="240"/>
        <w:ind w:firstLine="288"/>
        <w:jc w:val="both"/>
      </w:pPr>
      <w:r>
        <w:rPr>
          <w:rFonts w:ascii="Times New Roman" w:cs="Times New Roman" w:eastAsia="Times New Roman" w:hAnsi="Times New Roman"/>
          <w:sz w:val="20"/>
          <w:szCs w:val="20"/>
        </w:rPr>
        <w:t xml:space="preserve">We answer it on 9,357 hourly readings from a chemical multisensor array deployed at road level in an Italian city, comparing a Double Deep Q-Network against two configurations of a robust streaming filter and against doing nothing at all, on identical held-out windows, under identical constraints, through a single metric implementation.</w:t>
      </w:r>
    </w:p>
    <w:p>
      <w:pPr>
        <w:spacing w:after="40" w:before="100"/>
        <w:ind w:firstLine="288"/>
        <w:jc w:val="left"/>
      </w:pPr>
      <w:r>
        <w:rPr>
          <w:rFonts w:ascii="Times New Roman" w:cs="Times New Roman" w:eastAsia="Times New Roman" w:hAnsi="Times New Roman"/>
          <w:i/>
          <w:iCs/>
          <w:sz w:val="20"/>
          <w:szCs w:val="20"/>
        </w:rPr>
        <w:t xml:space="preserve">Contributions.</w:t>
      </w:r>
    </w:p>
    <w:p>
      <w:pPr>
        <w:spacing w:after="60" w:line="240"/>
        <w:ind w:firstLine="0"/>
        <w:jc w:val="both"/>
      </w:pPr>
      <w:r>
        <w:rPr>
          <w:rFonts w:ascii="Times New Roman" w:cs="Times New Roman" w:eastAsia="Times New Roman" w:hAnsi="Times New Roman"/>
          <w:sz w:val="20"/>
          <w:szCs w:val="20"/>
        </w:rPr>
        <w:t xml:space="preserve">1) We state the online constraint as an identifiability limit and verify it empirically. A grid search over the rule filter’s rejection threshold on the training split is monotone in the threshold: the objective falls from 0.3724 at z = 4 to 0.2617 at z = 20, the widest gate searched. The calibrated filter consequently degenerates to pass-through, and we confirm on test that it is bit-identical to inaction on all 150 windows. On this channel, at these fault amplitudes, no hard-thresholding filter earns its false-positive cost.</w:t>
      </w:r>
    </w:p>
    <w:p>
      <w:pPr>
        <w:spacing w:after="60" w:line="240"/>
        <w:ind w:firstLine="0"/>
        <w:jc w:val="both"/>
      </w:pPr>
      <w:r>
        <w:rPr>
          <w:rFonts w:ascii="Times New Roman" w:cs="Times New Roman" w:eastAsia="Times New Roman" w:hAnsi="Times New Roman"/>
          <w:sz w:val="20"/>
          <w:szCs w:val="20"/>
        </w:rPr>
        <w:t xml:space="preserve">2) We show that a learned policy sidesteps the barrier by declining to make the classification. The policy abstains on 85–97% of samples and applies bounded partial corrections elsewhere, with an intervention rate that varies by fault family from 3.3% to 14.6%.</w:t>
      </w:r>
    </w:p>
    <w:p>
      <w:pPr>
        <w:spacing w:after="60" w:line="240"/>
        <w:ind w:firstLine="0"/>
        <w:jc w:val="both"/>
      </w:pPr>
      <w:r>
        <w:rPr>
          <w:rFonts w:ascii="Times New Roman" w:cs="Times New Roman" w:eastAsia="Times New Roman" w:hAnsi="Times New Roman"/>
          <w:sz w:val="20"/>
          <w:szCs w:val="20"/>
        </w:rPr>
        <w:t xml:space="preserve">3) We supply paired significance testing rather than a comparison of means, and report where it contradicts the headline. The advantage over a conventional Hampel filter is significant on every family; the advantage over inaction is significant on two families, absent on one, and significantly reversed on two.</w:t>
      </w:r>
    </w:p>
    <w:p>
      <w:pPr>
        <w:spacing w:after="60" w:line="240"/>
        <w:ind w:firstLine="0"/>
        <w:jc w:val="both"/>
      </w:pPr>
      <w:r>
        <w:rPr>
          <w:rFonts w:ascii="Times New Roman" w:cs="Times New Roman" w:eastAsia="Times New Roman" w:hAnsi="Times New Roman"/>
          <w:sz w:val="20"/>
          <w:szCs w:val="20"/>
        </w:rPr>
        <w:t xml:space="preserve">4) We report three negative results — over-correction of near-clean streams, a validation-to-test generalisation gap, and a corruption amplitude that lies inside the channel’s own innovation envelope — and identify the missing action cost in the reward as the specific, testable cause of the first.</w:t>
      </w:r>
    </w:p>
    <w:p>
      <w:pPr>
        <w:spacing w:after="100" w:before="200"/>
        <w:jc w:val="center"/>
      </w:pPr>
      <w:r>
        <w:rPr>
          <w:rFonts w:ascii="Times New Roman" w:cs="Times New Roman" w:eastAsia="Times New Roman" w:hAnsi="Times New Roman"/>
          <w:sz w:val="20"/>
          <w:szCs w:val="20"/>
        </w:rPr>
        <w:t xml:space="preserve">II.  RELATED WORK</w:t>
      </w:r>
    </w:p>
    <w:p>
      <w:pPr>
        <w:spacing w:after="60" w:before="140"/>
        <w:jc w:val="left"/>
      </w:pPr>
      <w:r>
        <w:rPr>
          <w:rFonts w:ascii="Times New Roman" w:cs="Times New Roman" w:eastAsia="Times New Roman" w:hAnsi="Times New Roman"/>
          <w:i/>
          <w:iCs/>
          <w:sz w:val="20"/>
          <w:szCs w:val="20"/>
        </w:rPr>
        <w:t xml:space="preserve">A.  Data cleaning and imputation</w:t>
      </w:r>
    </w:p>
    <w:p>
      <w:pPr>
        <w:spacing w:after="60" w:line="240"/>
        <w:ind w:firstLine="288"/>
        <w:jc w:val="both"/>
      </w:pPr>
      <w:r>
        <w:rPr>
          <w:rFonts w:ascii="Times New Roman" w:cs="Times New Roman" w:eastAsia="Times New Roman" w:hAnsi="Times New Roman"/>
          <w:sz w:val="20"/>
          <w:szCs w:val="20"/>
        </w:rPr>
        <w:t xml:space="preserve">Data cleaning is a mature database problem. Ilyas and Chu survey the field systematically [1], and Chu et al. set out the emerging challenges when cleaning is coupled to downstream machine learning [2]. ActiveClean [3] makes that coupling explicit, cleaning records progressively in an order chosen to benefit a convex-loss model while preserving convergence guarantees, and HoloClean [4] treats repair as probabilistic inference over integrity constraints and statistical signals. These systems are powerful and they are all offline: they assume random access to the relation. Our setting forbids it.</w:t>
      </w:r>
    </w:p>
    <w:p>
      <w:pPr>
        <w:spacing w:after="60" w:before="140"/>
        <w:jc w:val="left"/>
      </w:pPr>
      <w:r>
        <w:rPr>
          <w:rFonts w:ascii="Times New Roman" w:cs="Times New Roman" w:eastAsia="Times New Roman" w:hAnsi="Times New Roman"/>
          <w:i/>
          <w:iCs/>
          <w:sz w:val="20"/>
          <w:szCs w:val="20"/>
        </w:rPr>
        <w:t xml:space="preserve">B.  Robust filtering and streaming anomaly detection</w:t>
      </w:r>
    </w:p>
    <w:p>
      <w:pPr>
        <w:spacing w:after="60" w:line="240"/>
        <w:ind w:firstLine="288"/>
        <w:jc w:val="both"/>
      </w:pPr>
      <w:r>
        <w:rPr>
          <w:rFonts w:ascii="Times New Roman" w:cs="Times New Roman" w:eastAsia="Times New Roman" w:hAnsi="Times New Roman"/>
          <w:sz w:val="20"/>
          <w:szCs w:val="20"/>
        </w:rPr>
        <w:t xml:space="preserve">The classical response to impulsive corruption is a robust filter. The Hampel filter replaces a sample with the local median only when that sample is an outlier by a scaled median-absolute-deviation test, and Pearson et al. characterise the generalized class, including recursive and cascaded variants [5]. Chandola et al. provide the standard taxonomy of anomaly detection [6], and Cook et al. survey the problem specifically for IoT time series [7]. The Kalman filter [8] remains the reference recursive estimator where process and measurement noise are Gaussian and their covariances are known. Our fault families violate those premises in three distinct ways, which we discuss in Section VII. Concept-drift adaptation [9] addresses non-stationarity but targets the model rather than the individual reading.</w:t>
      </w:r>
    </w:p>
    <w:p>
      <w:pPr>
        <w:spacing w:after="60" w:before="140"/>
        <w:jc w:val="left"/>
      </w:pPr>
      <w:r>
        <w:rPr>
          <w:rFonts w:ascii="Times New Roman" w:cs="Times New Roman" w:eastAsia="Times New Roman" w:hAnsi="Times New Roman"/>
          <w:i/>
          <w:iCs/>
          <w:sz w:val="20"/>
          <w:szCs w:val="20"/>
        </w:rPr>
        <w:t xml:space="preserve">C.  Reinforcement learning and edge inference</w:t>
      </w:r>
    </w:p>
    <w:p>
      <w:pPr>
        <w:spacing w:after="60" w:line="240"/>
        <w:ind w:firstLine="288"/>
        <w:jc w:val="both"/>
      </w:pPr>
      <w:r>
        <w:rPr>
          <w:rFonts w:ascii="Times New Roman" w:cs="Times New Roman" w:eastAsia="Times New Roman" w:hAnsi="Times New Roman"/>
          <w:sz w:val="20"/>
          <w:szCs w:val="20"/>
        </w:rPr>
        <w:t xml:space="preserve">Deep Q-learning [10] made value-based control viable on high-dimensional observations, and Double DQN [11] corrects the maximisation bias that inflates action values when the same network both selects and evaluates the greedy action. Sutton and Barto give the standard treatment of the underlying theory [12]. Henderson et al. document how sensitive reported deep-RL results are to seed choice and evaluation protocol [13], which motivates the multi-seed, held-out, significance-tested protocol we adopt here. On the deployment side, TensorFlow Lite Micro [14] establishes that networks of the scale we train are executable on microcontroller-class hardware.</w:t>
      </w:r>
    </w:p>
    <w:p>
      <w:pPr>
        <w:spacing w:after="60" w:before="140"/>
        <w:jc w:val="left"/>
      </w:pPr>
      <w:r>
        <w:rPr>
          <w:rFonts w:ascii="Times New Roman" w:cs="Times New Roman" w:eastAsia="Times New Roman" w:hAnsi="Times New Roman"/>
          <w:i/>
          <w:iCs/>
          <w:sz w:val="20"/>
          <w:szCs w:val="20"/>
        </w:rPr>
        <w:t xml:space="preserve">D.  The gap</w:t>
      </w:r>
    </w:p>
    <w:p>
      <w:pPr>
        <w:spacing w:after="60" w:line="240"/>
        <w:ind w:firstLine="288"/>
        <w:jc w:val="both"/>
      </w:pPr>
      <w:r>
        <w:rPr>
          <w:rFonts w:ascii="Times New Roman" w:cs="Times New Roman" w:eastAsia="Times New Roman" w:hAnsi="Times New Roman"/>
          <w:sz w:val="20"/>
          <w:szCs w:val="20"/>
        </w:rPr>
        <w:t xml:space="preserve">Offline cleaning systems assume access this setting denies. Robust filters operate causally but, as we measure in Section VI-A, cannot beat pass-through on this channel at these amplitudes. Reinforcement learning has been applied to cleaning-adjacent problems, but we are not aware of work that states the online constraint as an identifiability limit, measures it, and then tests a learned policy against a baseline granted the same tuning budget under that constraint. That is the gap this paper addresses.</w:t>
      </w:r>
    </w:p>
    <w:p>
      <w:pPr>
        <w:spacing w:after="100" w:before="200"/>
        <w:jc w:val="center"/>
      </w:pPr>
      <w:r>
        <w:rPr>
          <w:rFonts w:ascii="Times New Roman" w:cs="Times New Roman" w:eastAsia="Times New Roman" w:hAnsi="Times New Roman"/>
          <w:sz w:val="20"/>
          <w:szCs w:val="20"/>
        </w:rPr>
        <w:t xml:space="preserve">III.  PROBLEM FORMULATION</w:t>
      </w:r>
    </w:p>
    <w:p>
      <w:pPr>
        <w:spacing w:after="60" w:before="140"/>
        <w:jc w:val="left"/>
      </w:pPr>
      <w:r>
        <w:rPr>
          <w:rFonts w:ascii="Times New Roman" w:cs="Times New Roman" w:eastAsia="Times New Roman" w:hAnsi="Times New Roman"/>
          <w:i/>
          <w:iCs/>
          <w:sz w:val="20"/>
          <w:szCs w:val="20"/>
        </w:rPr>
        <w:t xml:space="preserve">A.  The online constraint</w:t>
      </w:r>
    </w:p>
    <w:p>
      <w:pPr>
        <w:spacing w:after="60" w:line="240"/>
        <w:ind w:firstLine="288"/>
        <w:jc w:val="both"/>
      </w:pPr>
      <w:r>
        <w:rPr>
          <w:rFonts w:ascii="Times New Roman" w:cs="Times New Roman" w:eastAsia="Times New Roman" w:hAnsi="Times New Roman"/>
          <w:sz w:val="20"/>
          <w:szCs w:val="20"/>
        </w:rPr>
        <w:t xml:space="preserve">Let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rPr>
        <w:t xml:space="preserve">ₜ</w:t>
      </w:r>
      <w:r>
        <w:rPr>
          <w:rFonts w:ascii="Times New Roman" w:cs="Times New Roman" w:eastAsia="Times New Roman" w:hAnsi="Times New Roman"/>
          <w:sz w:val="20"/>
          <w:szCs w:val="20"/>
        </w:rPr>
        <w:t xml:space="preserve"> denote the reading received at step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rPr>
        <w:t xml:space="preserve">ₜ</w:t>
      </w:r>
      <w:r>
        <w:rPr>
          <w:rFonts w:ascii="Times New Roman" w:cs="Times New Roman" w:eastAsia="Times New Roman" w:hAnsi="Times New Roman"/>
          <w:sz w:val="20"/>
          <w:szCs w:val="20"/>
        </w:rPr>
        <w:t xml:space="preserve"> the unobserved reference value. A correction policy π must emit a cleaned value </w:t>
      </w:r>
      <w:r>
        <w:rPr>
          <w:rFonts w:ascii="Times New Roman" w:cs="Times New Roman" w:eastAsia="Times New Roman" w:hAnsi="Times New Roman"/>
          <w:i/>
          <w:iCs/>
          <w:sz w:val="20"/>
          <w:szCs w:val="20"/>
        </w:rPr>
        <w:t xml:space="preserve">ŷ</w:t>
      </w:r>
      <w:r>
        <w:rPr>
          <w:rFonts w:ascii="Times New Roman" w:cs="Times New Roman" w:eastAsia="Times New Roman" w:hAnsi="Times New Roman"/>
          <w:sz w:val="20"/>
          <w:szCs w:val="20"/>
        </w:rPr>
        <w:t xml:space="preserve">ₜ</w:t>
      </w:r>
      <w:r>
        <w:rPr>
          <w:rFonts w:ascii="Times New Roman" w:cs="Times New Roman" w:eastAsia="Times New Roman" w:hAnsi="Times New Roman"/>
          <w:sz w:val="20"/>
          <w:szCs w:val="20"/>
        </w:rPr>
        <w:t xml:space="preserve"> as a function of the information set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ₜ</w:t>
      </w:r>
      <w:r>
        <w:rPr>
          <w:rFonts w:ascii="Times New Roman" w:cs="Times New Roman" w:eastAsia="Times New Roman" w:hAnsi="Times New Roman"/>
          <w:sz w:val="20"/>
          <w:szCs w:val="20"/>
        </w:rPr>
        <w:t xml:space="preserve"> = {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rPr>
        <w:t xml:space="preserve">₁</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rPr>
        <w:t xml:space="preserve">ₜ</w:t>
      </w:r>
      <w:r>
        <w:rPr>
          <w:rFonts w:ascii="Times New Roman" w:cs="Times New Roman" w:eastAsia="Times New Roman" w:hAnsi="Times New Roman"/>
          <w:sz w:val="20"/>
          <w:szCs w:val="20"/>
        </w:rPr>
        <w:t xml:space="preserve"> } ∪ { </w:t>
      </w:r>
      <w:r>
        <w:rPr>
          <w:rFonts w:ascii="Times New Roman" w:cs="Times New Roman" w:eastAsia="Times New Roman" w:hAnsi="Times New Roman"/>
          <w:i/>
          <w:iCs/>
          <w:sz w:val="20"/>
          <w:szCs w:val="20"/>
        </w:rPr>
        <w:t xml:space="preserve">ŷ</w:t>
      </w:r>
      <w:r>
        <w:rPr>
          <w:rFonts w:ascii="Times New Roman" w:cs="Times New Roman" w:eastAsia="Times New Roman" w:hAnsi="Times New Roman"/>
          <w:sz w:val="20"/>
          <w:szCs w:val="20"/>
        </w:rPr>
        <w:t xml:space="preserve">₁</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ŷ</w:t>
      </w:r>
      <w:r>
        <w:rPr>
          <w:rFonts w:ascii="Times New Roman" w:cs="Times New Roman" w:eastAsia="Times New Roman" w:hAnsi="Times New Roman"/>
          <w:sz w:val="20"/>
          <w:szCs w:val="20"/>
        </w:rPr>
        <w:t xml:space="preserve">ₜ₋₁</w:t>
      </w:r>
      <w:r>
        <w:rPr>
          <w:rFonts w:ascii="Times New Roman" w:cs="Times New Roman" w:eastAsia="Times New Roman" w:hAnsi="Times New Roman"/>
          <w:sz w:val="20"/>
          <w:szCs w:val="20"/>
        </w:rPr>
        <w:t xml:space="preserve"> }, and of nothing else. No element of {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rPr>
        <w:t xml:space="preserve">ₜ₊₁</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rPr>
        <w:t xml:space="preserve">ₜ₊₂</w:t>
      </w:r>
      <w:r>
        <w:rPr>
          <w:rFonts w:ascii="Times New Roman" w:cs="Times New Roman" w:eastAsia="Times New Roman" w:hAnsi="Times New Roman"/>
          <w:sz w:val="20"/>
          <w:szCs w:val="20"/>
        </w:rPr>
        <w:t xml:space="preserve">, … } is available, and no dataset-wide statistic that a deployed device could not itself compute may enter the observation. We additionally bound retained state to a constant: the policy keeps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5 previously emitted values, so memory is O(1) in the stream length.</w:t>
      </w:r>
    </w:p>
    <w:p>
      <w:pPr>
        <w:spacing w:after="60" w:before="140"/>
        <w:jc w:val="left"/>
      </w:pPr>
      <w:r>
        <w:rPr>
          <w:rFonts w:ascii="Times New Roman" w:cs="Times New Roman" w:eastAsia="Times New Roman" w:hAnsi="Times New Roman"/>
          <w:i/>
          <w:iCs/>
          <w:sz w:val="20"/>
          <w:szCs w:val="20"/>
        </w:rPr>
        <w:t xml:space="preserve">B.  An identifiability limit</w:t>
      </w:r>
    </w:p>
    <w:p>
      <w:pPr>
        <w:spacing w:after="60" w:line="240"/>
        <w:ind w:firstLine="288"/>
        <w:jc w:val="both"/>
      </w:pPr>
      <w:r>
        <w:rPr>
          <w:rFonts w:ascii="Times New Roman" w:cs="Times New Roman" w:eastAsia="Times New Roman" w:hAnsi="Times New Roman"/>
          <w:sz w:val="20"/>
          <w:szCs w:val="20"/>
        </w:rPr>
        <w:t xml:space="preserve">Any filter that decides whether to replace yₜ must distinguish a corrupted reading from an unusual but genuine one. Write the innovation as the deviation of the current reading from the rolling baseline, scaled by the rolling dispersion. A single-sample additive spike of magnitude δ and a genuine step change of magnitude δ produce the same innovation at step t. The two hypotheses differ only in their continuation: the spike reverts at t+1 and the step persists. A causal filter must act at t.</w:t>
      </w:r>
    </w:p>
    <w:p>
      <w:pPr>
        <w:spacing w:after="60" w:line="240"/>
        <w:ind w:firstLine="288"/>
        <w:jc w:val="both"/>
      </w:pPr>
      <w:r>
        <w:rPr>
          <w:rFonts w:ascii="Times New Roman" w:cs="Times New Roman" w:eastAsia="Times New Roman" w:hAnsi="Times New Roman"/>
          <w:sz w:val="20"/>
          <w:szCs w:val="20"/>
        </w:rPr>
        <w:t xml:space="preserve">The consequence is that a hard rejection rule faces an unavoidable trade: every threshold low enough to catch spikes also rejects genuine excursions. Whether rejection is worthwhile is an empirical property of the channel and the fault amplitude, and Section VI-A measures it for this channel. A policy with access to graded, partial corrections is not bound by the same trade, because it need not commit to a binary decision at all.</w:t>
      </w:r>
    </w:p>
    <w:p>
      <w:pPr>
        <w:spacing w:after="60" w:before="140"/>
        <w:jc w:val="left"/>
      </w:pPr>
      <w:r>
        <w:rPr>
          <w:rFonts w:ascii="Times New Roman" w:cs="Times New Roman" w:eastAsia="Times New Roman" w:hAnsi="Times New Roman"/>
          <w:i/>
          <w:iCs/>
          <w:sz w:val="20"/>
          <w:szCs w:val="20"/>
        </w:rPr>
        <w:t xml:space="preserve">C.  Markov decision process</w:t>
      </w:r>
    </w:p>
    <w:p>
      <w:pPr>
        <w:spacing w:after="60" w:line="240"/>
        <w:ind w:firstLine="288"/>
        <w:jc w:val="both"/>
      </w:pPr>
      <w:r>
        <w:rPr>
          <w:rFonts w:ascii="Times New Roman" w:cs="Times New Roman" w:eastAsia="Times New Roman" w:hAnsi="Times New Roman"/>
          <w:sz w:val="20"/>
          <w:szCs w:val="20"/>
        </w:rPr>
        <w:t xml:space="preserve">We model the task as M = ⟨S, A, P, R, γ⟩ with the state, action and reward definitions that follow. The reward uses the reference signal and is therefore a training-time signal only; it is unavailable at deployment and never enters the observation.</w:t>
      </w:r>
    </w:p>
    <w:p>
      <w:pPr>
        <w:spacing w:after="100" w:before="200"/>
        <w:jc w:val="center"/>
      </w:pPr>
      <w:r>
        <w:rPr>
          <w:rFonts w:ascii="Times New Roman" w:cs="Times New Roman" w:eastAsia="Times New Roman" w:hAnsi="Times New Roman"/>
          <w:sz w:val="20"/>
          <w:szCs w:val="20"/>
        </w:rPr>
        <w:t xml:space="preserve">IV.  METHODOLOGY</w:t>
      </w:r>
    </w:p>
    <w:p>
      <w:pPr>
        <w:spacing w:after="60" w:before="140"/>
        <w:jc w:val="left"/>
      </w:pPr>
      <w:r>
        <w:rPr>
          <w:rFonts w:ascii="Times New Roman" w:cs="Times New Roman" w:eastAsia="Times New Roman" w:hAnsi="Times New Roman"/>
          <w:i/>
          <w:iCs/>
          <w:sz w:val="20"/>
          <w:szCs w:val="20"/>
        </w:rPr>
        <w:t xml:space="preserve">A.  Dataset</w:t>
      </w:r>
    </w:p>
    <w:p>
      <w:pPr>
        <w:spacing w:after="60" w:line="240"/>
        <w:ind w:firstLine="288"/>
        <w:jc w:val="both"/>
      </w:pPr>
      <w:r>
        <w:rPr>
          <w:rFonts w:ascii="Times New Roman" w:cs="Times New Roman" w:eastAsia="Times New Roman" w:hAnsi="Times New Roman"/>
          <w:sz w:val="20"/>
          <w:szCs w:val="20"/>
        </w:rPr>
        <w:t xml:space="preserve">We use the UCI Air Quality record [15]: a gas multisensor device deployed at road level in an Italian city from March 2004 to April 2005, 9,357 hourly instances. The target channel is CO(GT), the ground-truth carbon monoxide concentration.</w:t>
      </w:r>
    </w:p>
    <w:p>
      <w:pPr>
        <w:spacing w:after="60" w:line="240"/>
        <w:ind w:firstLine="288"/>
        <w:jc w:val="both"/>
      </w:pPr>
      <w:r>
        <w:rPr>
          <w:rFonts w:ascii="Times New Roman" w:cs="Times New Roman" w:eastAsia="Times New Roman" w:hAnsi="Times New Roman"/>
          <w:sz w:val="20"/>
          <w:szCs w:val="20"/>
        </w:rPr>
        <w:t xml:space="preserve">The published CSV encodes hardware faults with the sentinel −200. On CO(GT) this accounts for 1,683 readings, 18.0% of the record. We resolve them by linear interpolation to obtain a continuous reference, and then flag every interpolated position and exclude it from every metric. Scoring a denoiser at a timestep whose reference came from an interpolator measures agreement with the interpolator, not with the sensor. Evaluation windows are additionally drawn to be at least 75% real measurement — a criterion applied identically to all methods and conditioned on no method’s output.</w:t>
      </w:r>
    </w:p>
    <w:p>
      <w:pPr>
        <w:spacing w:after="0" w:before="160"/>
        <w:jc w:val="center"/>
      </w:pPr>
      <w:r>
        <w:rPr>
          <w:rFonts w:ascii="Times New Roman" w:cs="Times New Roman" w:eastAsia="Times New Roman" w:hAnsi="Times New Roman"/>
          <w:sz w:val="16"/>
          <w:szCs w:val="16"/>
        </w:rPr>
        <w:t xml:space="preserve">TABLE I</w:t>
      </w:r>
    </w:p>
    <w:p>
      <w:pPr>
        <w:spacing w:after="60"/>
        <w:jc w:val="center"/>
      </w:pPr>
      <w:r>
        <w:rPr>
          <w:rFonts w:ascii="Times New Roman" w:cs="Times New Roman" w:eastAsia="Times New Roman" w:hAnsi="Times New Roman"/>
          <w:sz w:val="16"/>
          <w:szCs w:val="16"/>
        </w:rPr>
        <w:t xml:space="preserve">CHRONOLOGICAL SPLITS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00"/>
        <w:gridCol w:w="900"/>
        <w:gridCol w:w="3040"/>
      </w:tblGrid>
      <w:tr>
        <w:trPr>
          <w:tblHeader/>
        </w:trPr>
        <w:tc>
          <w:tcPr>
            <w:tcW w:type="dxa" w:w="110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Split</w:t>
            </w:r>
          </w:p>
        </w:tc>
        <w:tc>
          <w:tcPr>
            <w:tcW w:type="dxa" w:w="90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Hours</w:t>
            </w:r>
          </w:p>
        </w:tc>
        <w:tc>
          <w:tcPr>
            <w:tcW w:type="dxa" w:w="304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Purpose</w:t>
            </w:r>
          </w:p>
        </w:tc>
      </w:tr>
      <w:t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Train</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6,737</w:t>
            </w:r>
          </w:p>
        </w:tc>
        <w:tc>
          <w:tcPr>
            <w:tcW w:type="dxa" w:w="30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Policy learning; rule-filter calibration</w:t>
            </w:r>
          </w:p>
        </w:tc>
      </w:tr>
      <w:t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Validation</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748</w:t>
            </w:r>
          </w:p>
        </w:tc>
        <w:tc>
          <w:tcPr>
            <w:tcW w:type="dxa" w:w="30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Checkpoint selection only</w:t>
            </w:r>
          </w:p>
        </w:tc>
      </w:tr>
      <w:tr>
        <w:tc>
          <w:tcPr>
            <w:tcW w:type="dxa" w:w="110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Test</w:t>
            </w:r>
          </w:p>
        </w:tc>
        <w:tc>
          <w:tcPr>
            <w:tcW w:type="dxa" w:w="90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1,872</w:t>
            </w:r>
          </w:p>
        </w:tc>
        <w:tc>
          <w:tcPr>
            <w:tcW w:type="dxa" w:w="304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Held out; used once, for the final table</w:t>
            </w:r>
          </w:p>
        </w:tc>
      </w:tr>
    </w:tbl>
    <w:p>
      <w:pPr>
        <w:spacing w:after="60" w:line="240"/>
        <w:ind w:firstLine="288"/>
        <w:jc w:val="both"/>
      </w:pPr>
      <w:r>
        <w:rPr>
          <w:rFonts w:ascii="Times New Roman" w:cs="Times New Roman" w:eastAsia="Times New Roman" w:hAnsi="Times New Roman"/>
          <w:sz w:val="20"/>
          <w:szCs w:val="20"/>
        </w:rPr>
        <w:t xml:space="preserve">Splits are chronological, as shown in Table I. We use neither shuffling nor k-fold cross-validation, because both leak future trend into past training instances and would invalidate any claim about streaming behaviour. The validation split is carved from the end of the training region and never from the test region.</w:t>
      </w:r>
    </w:p>
    <w:p>
      <w:pPr>
        <w:spacing w:after="60" w:before="140"/>
        <w:jc w:val="left"/>
      </w:pPr>
      <w:r>
        <w:rPr>
          <w:rFonts w:ascii="Times New Roman" w:cs="Times New Roman" w:eastAsia="Times New Roman" w:hAnsi="Times New Roman"/>
          <w:i/>
          <w:iCs/>
          <w:sz w:val="20"/>
          <w:szCs w:val="20"/>
        </w:rPr>
        <w:t xml:space="preserve">B.  Corruption model</w:t>
      </w:r>
    </w:p>
    <w:p>
      <w:pPr>
        <w:spacing w:after="60" w:line="240"/>
        <w:ind w:firstLine="288"/>
        <w:jc w:val="both"/>
      </w:pPr>
      <w:r>
        <w:rPr>
          <w:rFonts w:ascii="Times New Roman" w:cs="Times New Roman" w:eastAsia="Times New Roman" w:hAnsi="Times New Roman"/>
          <w:sz w:val="20"/>
          <w:szCs w:val="20"/>
        </w:rPr>
        <w:t xml:space="preserve">The reference channel, once the sentinel positions are excluded, is treated as clean, and faults are injected synthetically. This is a deliberate methodological choice and its consequences are discussed in Section VII. It is forced by the requirement to compute error: no field IoT record ships a per-sample ground truth, so without a controlled corruption model no method — ours or the baseline’s — could be scored at all. We inject four fault families plus a mixture, with the parameters given here so that the protocol is reproducible:</w:t>
      </w:r>
    </w:p>
    <w:p>
      <w:pPr>
        <w:spacing w:after="60" w:line="240"/>
        <w:ind w:firstLine="0"/>
        <w:jc w:val="both"/>
      </w:pPr>
      <w:r>
        <w:rPr>
          <w:rFonts w:ascii="Times New Roman" w:cs="Times New Roman" w:eastAsia="Times New Roman" w:hAnsi="Times New Roman"/>
          <w:sz w:val="20"/>
          <w:szCs w:val="20"/>
        </w:rPr>
        <w:t xml:space="preserve">Electrical spike: each sample is corrupted independently with probability 0.08 by an additive offset of uniform magnitude 2.5–4.0 times the window standard deviation, with random sign.</w:t>
      </w:r>
    </w:p>
    <w:p>
      <w:pPr>
        <w:spacing w:after="60" w:line="240"/>
        <w:ind w:firstLine="0"/>
        <w:jc w:val="both"/>
      </w:pPr>
      <w:r>
        <w:rPr>
          <w:rFonts w:ascii="Times New Roman" w:cs="Times New Roman" w:eastAsia="Times New Roman" w:hAnsi="Times New Roman"/>
          <w:sz w:val="20"/>
          <w:szCs w:val="20"/>
        </w:rPr>
        <w:t xml:space="preserve">Calibration drift: a linear ramp of slope 0.05–0.15 standard deviations per step, random sign, applied over a contiguous 12-sample sub-window.</w:t>
      </w:r>
    </w:p>
    <w:p>
      <w:pPr>
        <w:spacing w:after="60" w:line="240"/>
        <w:ind w:firstLine="0"/>
        <w:jc w:val="both"/>
      </w:pPr>
      <w:r>
        <w:rPr>
          <w:rFonts w:ascii="Times New Roman" w:cs="Times New Roman" w:eastAsia="Times New Roman" w:hAnsi="Times New Roman"/>
          <w:sz w:val="20"/>
          <w:szCs w:val="20"/>
        </w:rPr>
        <w:t xml:space="preserve">Transmission dropout: contiguous runs of 1–4 missing samples, entered with probability 0.05 per step. The first sample of a window is never dropped, since a stream with no history at all is a cold-start problem rather than a denoising problem.</w:t>
      </w:r>
    </w:p>
    <w:p>
      <w:pPr>
        <w:spacing w:after="60" w:line="240"/>
        <w:ind w:firstLine="0"/>
        <w:jc w:val="both"/>
      </w:pPr>
      <w:r>
        <w:rPr>
          <w:rFonts w:ascii="Times New Roman" w:cs="Times New Roman" w:eastAsia="Times New Roman" w:hAnsi="Times New Roman"/>
          <w:sz w:val="20"/>
          <w:szCs w:val="20"/>
        </w:rPr>
        <w:t xml:space="preserve">Duplicate packet: the previous reading is repeated with probability 0.06, modelling a network retransmission glitch.</w:t>
      </w:r>
    </w:p>
    <w:p>
      <w:pPr>
        <w:spacing w:after="60" w:line="240"/>
        <w:ind w:firstLine="0"/>
        <w:jc w:val="both"/>
      </w:pPr>
      <w:r>
        <w:rPr>
          <w:rFonts w:ascii="Times New Roman" w:cs="Times New Roman" w:eastAsia="Times New Roman" w:hAnsi="Times New Roman"/>
          <w:sz w:val="20"/>
          <w:szCs w:val="20"/>
        </w:rPr>
        <w:t xml:space="preserve">Mixed: all four applied together at reduced rates (0.05, drift, 0.04, 0.04).</w:t>
      </w:r>
    </w:p>
    <w:p>
      <w:pPr>
        <w:spacing w:after="60" w:before="140"/>
        <w:jc w:val="left"/>
      </w:pPr>
      <w:r>
        <w:rPr>
          <w:rFonts w:ascii="Times New Roman" w:cs="Times New Roman" w:eastAsia="Times New Roman" w:hAnsi="Times New Roman"/>
          <w:i/>
          <w:iCs/>
          <w:sz w:val="20"/>
          <w:szCs w:val="20"/>
        </w:rPr>
        <w:t xml:space="preserve">C.  State space</w:t>
      </w:r>
    </w:p>
    <w:p>
      <w:pPr>
        <w:spacing w:after="60" w:line="240"/>
        <w:ind w:firstLine="288"/>
        <w:jc w:val="both"/>
      </w:pPr>
      <w:r>
        <w:rPr>
          <w:rFonts w:ascii="Times New Roman" w:cs="Times New Roman" w:eastAsia="Times New Roman" w:hAnsi="Times New Roman"/>
          <w:sz w:val="20"/>
          <w:szCs w:val="20"/>
        </w:rPr>
        <w:t xml:space="preserve">The observation at step t is a vector in R¹⁹ assembled from the current packet and the five retained values: a reading-present flag; a signed logarithmic magnitude; a logarithmic dispersion term; four scaled deviations of the reading from the rolling mean, the rolling median, the previous emission and the mean-median gap; the history fill level; a time-of-day phase; episode progress; the five-element buffer expressed as scaled deviations from the rolling mean; and four heuristic fault flags.</w:t>
      </w:r>
    </w:p>
    <w:p>
      <w:pPr>
        <w:spacing w:after="60" w:line="240"/>
        <w:ind w:firstLine="288"/>
        <w:jc w:val="both"/>
      </w:pPr>
      <w:r>
        <w:rPr>
          <w:rFonts w:ascii="Times New Roman" w:cs="Times New Roman" w:eastAsia="Times New Roman" w:hAnsi="Times New Roman"/>
          <w:sz w:val="20"/>
          <w:szCs w:val="20"/>
        </w:rPr>
        <w:t xml:space="preserve">Every deviation feature is divided by the rolling standard deviation, so the encoding is scale-relative. The policy therefore requires no dataset-wide normaliser that a device could not compute, and a unit test asserts invariance of the encoding under rescaling of the channel. Rolling statistics are computed over the last five values the agent itself emitted, never over raw future input.</w:t>
      </w:r>
    </w:p>
    <w:p>
      <w:pPr>
        <w:spacing w:after="60" w:line="240"/>
        <w:ind w:firstLine="288"/>
        <w:jc w:val="both"/>
      </w:pPr>
      <w:r>
        <w:rPr>
          <w:rFonts w:ascii="Times New Roman" w:cs="Times New Roman" w:eastAsia="Times New Roman" w:hAnsi="Times New Roman"/>
          <w:sz w:val="20"/>
          <w:szCs w:val="20"/>
        </w:rPr>
        <w:t xml:space="preserve">Two invariants are enforced in code rather than by convention. No future access: the observation is constructed from the current sample and already-emitted values, and there is no code path to sample t+1. No oracle leakage: the generator’s ground-truth, fault-type, reference-imputation and corruption-flag annotations are stripped before the observation is returned, so the agent receives exactly an identifier, a timestep, a sensor name and a value.</w:t>
      </w:r>
    </w:p>
    <w:p>
      <w:pPr>
        <w:spacing w:after="60" w:before="140"/>
        <w:jc w:val="left"/>
      </w:pPr>
      <w:r>
        <w:rPr>
          <w:rFonts w:ascii="Times New Roman" w:cs="Times New Roman" w:eastAsia="Times New Roman" w:hAnsi="Times New Roman"/>
          <w:i/>
          <w:iCs/>
          <w:sz w:val="20"/>
          <w:szCs w:val="20"/>
        </w:rPr>
        <w:t xml:space="preserve">D.  Action space</w:t>
      </w:r>
    </w:p>
    <w:p>
      <w:pPr>
        <w:spacing w:after="60" w:line="240"/>
        <w:ind w:firstLine="288"/>
        <w:jc w:val="both"/>
      </w:pPr>
      <w:r>
        <w:rPr>
          <w:rFonts w:ascii="Times New Roman" w:cs="Times New Roman" w:eastAsia="Times New Roman" w:hAnsi="Times New Roman"/>
          <w:sz w:val="20"/>
          <w:szCs w:val="20"/>
        </w:rPr>
        <w:t xml:space="preserve">Six discrete actions are available, with semantics owned by the environment so that each has one definition and is unit-tested independently of any agent. They are listed in Table II. With no history available at step 0, every corrective action degrades gracefully to the raw reading.</w:t>
      </w:r>
    </w:p>
    <w:p>
      <w:pPr>
        <w:spacing w:after="0" w:before="160"/>
        <w:jc w:val="center"/>
      </w:pPr>
      <w:r>
        <w:rPr>
          <w:rFonts w:ascii="Times New Roman" w:cs="Times New Roman" w:eastAsia="Times New Roman" w:hAnsi="Times New Roman"/>
          <w:sz w:val="16"/>
          <w:szCs w:val="16"/>
        </w:rPr>
        <w:t xml:space="preserve">TABLE II</w:t>
      </w:r>
    </w:p>
    <w:p>
      <w:pPr>
        <w:spacing w:after="60"/>
        <w:jc w:val="center"/>
      </w:pPr>
      <w:r>
        <w:rPr>
          <w:rFonts w:ascii="Times New Roman" w:cs="Times New Roman" w:eastAsia="Times New Roman" w:hAnsi="Times New Roman"/>
          <w:sz w:val="16"/>
          <w:szCs w:val="16"/>
        </w:rPr>
        <w:t xml:space="preserve">ACTION SPACE</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550"/>
        <w:gridCol w:w="3490"/>
      </w:tblGrid>
      <w:tr>
        <w:trPr>
          <w:tblHeader/>
        </w:trPr>
        <w:tc>
          <w:tcPr>
            <w:tcW w:type="dxa" w:w="155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Action</w:t>
            </w:r>
          </w:p>
        </w:tc>
        <w:tc>
          <w:tcPr>
            <w:tcW w:type="dxa" w:w="349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Emitted value</w:t>
            </w:r>
          </w:p>
        </w:tc>
      </w:tr>
      <w:tr>
        <w:tc>
          <w:tcPr>
            <w:tcW w:type="dxa" w:w="155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a₀  skip</w:t>
            </w:r>
          </w:p>
        </w:tc>
        <w:tc>
          <w:tcPr>
            <w:tcW w:type="dxa" w:w="349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yₜ unchanged (a dropout stays missing)</w:t>
            </w:r>
          </w:p>
        </w:tc>
      </w:tr>
      <w:tr>
        <w:tc>
          <w:tcPr>
            <w:tcW w:type="dxa" w:w="155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a₁  remove_outlier</w:t>
            </w:r>
          </w:p>
        </w:tc>
        <w:tc>
          <w:tcPr>
            <w:tcW w:type="dxa" w:w="349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rolling median</w:t>
            </w:r>
          </w:p>
        </w:tc>
      </w:tr>
      <w:tr>
        <w:tc>
          <w:tcPr>
            <w:tcW w:type="dxa" w:w="155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a₂  fill_missing</w:t>
            </w:r>
          </w:p>
        </w:tc>
        <w:tc>
          <w:tcPr>
            <w:tcW w:type="dxa" w:w="349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rolling median</w:t>
            </w:r>
          </w:p>
        </w:tc>
      </w:tr>
      <w:tr>
        <w:tc>
          <w:tcPr>
            <w:tcW w:type="dxa" w:w="155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a₃  fix_type</w:t>
            </w:r>
          </w:p>
        </w:tc>
        <w:tc>
          <w:tcPr>
            <w:tcW w:type="dxa" w:w="349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0.5 yₜ + 0.5 μₜ  (partial correction)</w:t>
            </w:r>
          </w:p>
        </w:tc>
      </w:tr>
      <w:tr>
        <w:tc>
          <w:tcPr>
            <w:tcW w:type="dxa" w:w="155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a₄  remove_duplicate</w:t>
            </w:r>
          </w:p>
        </w:tc>
        <w:tc>
          <w:tcPr>
            <w:tcW w:type="dxa" w:w="349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trend extrapolation from the last two emissions</w:t>
            </w:r>
          </w:p>
        </w:tc>
      </w:tr>
      <w:tr>
        <w:tc>
          <w:tcPr>
            <w:tcW w:type="dxa" w:w="155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a₅  fix_category</w:t>
            </w:r>
          </w:p>
        </w:tc>
        <w:tc>
          <w:tcPr>
            <w:tcW w:type="dxa" w:w="349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yₜ clamped into the historical [min, max]</w:t>
            </w:r>
          </w:p>
        </w:tc>
      </w:tr>
    </w:tbl>
    <w:p>
      <w:pPr>
        <w:spacing w:after="60" w:line="240"/>
        <w:ind w:firstLine="288"/>
        <w:jc w:val="both"/>
      </w:pPr>
      <w:r>
        <w:rPr>
          <w:rFonts w:ascii="Times New Roman" w:cs="Times New Roman" w:eastAsia="Times New Roman" w:hAnsi="Times New Roman"/>
          <w:sz w:val="20"/>
          <w:szCs w:val="20"/>
        </w:rPr>
        <w:t xml:space="preserve">Two of the six are graded rather than binary. Action a₃ moves the reading halfway to the rolling baseline, and a₅ clamps it to the envelope the recent history has established. Neither requires the policy to decide whether the sample is corrupt, which is the decision Section III-B shows to be ill-posed under the causal constraint.</w:t>
      </w:r>
    </w:p>
    <w:p>
      <w:pPr>
        <w:spacing w:after="60" w:before="140"/>
        <w:jc w:val="left"/>
      </w:pPr>
      <w:r>
        <w:rPr>
          <w:rFonts w:ascii="Times New Roman" w:cs="Times New Roman" w:eastAsia="Times New Roman" w:hAnsi="Times New Roman"/>
          <w:i/>
          <w:iCs/>
          <w:sz w:val="20"/>
          <w:szCs w:val="20"/>
        </w:rPr>
        <w:t xml:space="preserve">E.  Reward</w:t>
      </w:r>
    </w:p>
    <w:p>
      <w:pPr>
        <w:spacing w:after="60" w:line="240"/>
        <w:ind w:firstLine="288"/>
        <w:jc w:val="both"/>
      </w:pPr>
      <w:r>
        <w:rPr>
          <w:rFonts w:ascii="Times New Roman" w:cs="Times New Roman" w:eastAsia="Times New Roman" w:hAnsi="Times New Roman"/>
          <w:sz w:val="20"/>
          <w:szCs w:val="20"/>
        </w:rPr>
        <w:t xml:space="preserve">Let e</w:t>
      </w:r>
      <w:r>
        <w:rPr>
          <w:rFonts w:ascii="Times New Roman" w:cs="Times New Roman" w:eastAsia="Times New Roman" w:hAnsi="Times New Roman"/>
          <w:sz w:val="20"/>
          <w:szCs w:val="20"/>
          <w:vertAlign w:val="subscript"/>
        </w:rPr>
        <w:t xml:space="preserve">raw</w:t>
      </w:r>
      <w:r>
        <w:rPr>
          <w:rFonts w:ascii="Times New Roman" w:cs="Times New Roman" w:eastAsia="Times New Roman" w:hAnsi="Times New Roman"/>
          <w:sz w:val="20"/>
          <w:szCs w:val="20"/>
        </w:rPr>
        <w:t xml:space="preserve"> = |yₜ − y*ₜ| be the error of taking no action, where for a dropout this is the error of the carry-forward value, and let e</w:t>
      </w:r>
      <w:r>
        <w:rPr>
          <w:rFonts w:ascii="Times New Roman" w:cs="Times New Roman" w:eastAsia="Times New Roman" w:hAnsi="Times New Roman"/>
          <w:sz w:val="20"/>
          <w:szCs w:val="20"/>
          <w:vertAlign w:val="subscript"/>
        </w:rPr>
        <w:t xml:space="preserve">clean</w:t>
      </w:r>
      <w:r>
        <w:rPr>
          <w:rFonts w:ascii="Times New Roman" w:cs="Times New Roman" w:eastAsia="Times New Roman" w:hAnsi="Times New Roman"/>
          <w:sz w:val="20"/>
          <w:szCs w:val="20"/>
        </w:rPr>
        <w:t xml:space="preserve"> be the error of the emitted value. With Δe = e</w:t>
      </w:r>
      <w:r>
        <w:rPr>
          <w:rFonts w:ascii="Times New Roman" w:cs="Times New Roman" w:eastAsia="Times New Roman" w:hAnsi="Times New Roman"/>
          <w:sz w:val="20"/>
          <w:szCs w:val="20"/>
          <w:vertAlign w:val="subscript"/>
        </w:rPr>
        <w:t xml:space="preserve">raw</w:t>
      </w:r>
      <w:r>
        <w:rPr>
          <w:rFonts w:ascii="Times New Roman" w:cs="Times New Roman" w:eastAsia="Times New Roman" w:hAnsi="Times New Roman"/>
          <w:sz w:val="20"/>
          <w:szCs w:val="20"/>
        </w:rPr>
        <w:t xml:space="preserve"> − e</w:t>
      </w:r>
      <w:r>
        <w:rPr>
          <w:rFonts w:ascii="Times New Roman" w:cs="Times New Roman" w:eastAsia="Times New Roman" w:hAnsi="Times New Roman"/>
          <w:sz w:val="20"/>
          <w:szCs w:val="20"/>
          <w:vertAlign w:val="subscript"/>
        </w:rPr>
        <w:t xml:space="preserve">clean</w:t>
      </w:r>
      <w:r>
        <w:rPr>
          <w:rFonts w:ascii="Times New Roman" w:cs="Times New Roman" w:eastAsia="Times New Roman" w:hAnsi="Times New Roman"/>
          <w:sz w:val="20"/>
          <w:szCs w:val="20"/>
        </w:rPr>
        <w:t xml:space="preserve">, the reward is</w:t>
      </w:r>
    </w:p>
    <w:p>
      <w:pPr>
        <w:spacing w:after="0" w:line="240"/>
        <w:ind w:firstLine="0"/>
        <w:jc w:val="center"/>
      </w:pPr>
      <w:r>
        <w:rPr>
          <w:rFonts w:ascii="Times New Roman" w:cs="Times New Roman" w:eastAsia="Times New Roman" w:hAnsi="Times New Roman"/>
          <w:sz w:val="20"/>
          <w:szCs w:val="20"/>
        </w:rPr>
        <w:t xml:space="preserve">Rₜ = R</w:t>
      </w:r>
      <w:r>
        <w:rPr>
          <w:rFonts w:ascii="Times New Roman" w:cs="Times New Roman" w:eastAsia="Times New Roman" w:hAnsi="Times New Roman"/>
          <w:sz w:val="20"/>
          <w:szCs w:val="20"/>
          <w:vertAlign w:val="subscript"/>
        </w:rPr>
        <w:t xml:space="preserve">base</w:t>
      </w:r>
      <w:r>
        <w:rPr>
          <w:rFonts w:ascii="Times New Roman" w:cs="Times New Roman" w:eastAsia="Times New Roman" w:hAnsi="Times New Roman"/>
          <w:sz w:val="20"/>
          <w:szCs w:val="20"/>
        </w:rPr>
        <w:t xml:space="preserve"> + min(0.45, 0.2 Δe)  if Δe &gt; 0;</w:t>
      </w:r>
    </w:p>
    <w:p>
      <w:pPr>
        <w:spacing w:after="0" w:line="240"/>
        <w:ind w:firstLine="0"/>
        <w:jc w:val="center"/>
      </w:pPr>
      <w:r>
        <w:rPr>
          <w:rFonts w:ascii="Times New Roman" w:cs="Times New Roman" w:eastAsia="Times New Roman" w:hAnsi="Times New Roman"/>
          <w:sz w:val="20"/>
          <w:szCs w:val="20"/>
        </w:rPr>
        <w:t xml:space="preserve">Rₜ = −0.15 − min(0.35, 0.2 |Δe|)  if Δe ≤ 0;</w:t>
      </w:r>
    </w:p>
    <w:p>
      <w:pPr>
        <w:spacing w:after="60" w:line="240"/>
        <w:ind w:firstLine="0"/>
        <w:jc w:val="center"/>
      </w:pPr>
      <w:r>
        <w:rPr>
          <w:rFonts w:ascii="Times New Roman" w:cs="Times New Roman" w:eastAsia="Times New Roman" w:hAnsi="Times New Roman"/>
          <w:sz w:val="20"/>
          <w:szCs w:val="20"/>
        </w:rPr>
        <w:t xml:space="preserve">Rₜ = +0.15  for skip when e</w:t>
      </w:r>
      <w:r>
        <w:rPr>
          <w:rFonts w:ascii="Times New Roman" w:cs="Times New Roman" w:eastAsia="Times New Roman" w:hAnsi="Times New Roman"/>
          <w:sz w:val="20"/>
          <w:szCs w:val="20"/>
          <w:vertAlign w:val="subscript"/>
        </w:rPr>
        <w:t xml:space="preserve">raw</w:t>
      </w:r>
      <w:r>
        <w:rPr>
          <w:rFonts w:ascii="Times New Roman" w:cs="Times New Roman" w:eastAsia="Times New Roman" w:hAnsi="Times New Roman"/>
          <w:sz w:val="20"/>
          <w:szCs w:val="20"/>
        </w:rPr>
        <w:t xml:space="preserve"> &lt; 0.2.</w:t>
      </w:r>
    </w:p>
    <w:p>
      <w:pPr>
        <w:spacing w:after="60" w:line="240"/>
        <w:ind w:firstLine="288"/>
        <w:jc w:val="both"/>
      </w:pPr>
      <w:r>
        <w:rPr>
          <w:rFonts w:ascii="Times New Roman" w:cs="Times New Roman" w:eastAsia="Times New Roman" w:hAnsi="Times New Roman"/>
          <w:sz w:val="20"/>
          <w:szCs w:val="20"/>
        </w:rPr>
        <w:t xml:space="preserve">Three properties are deliberate. The reward is magnitude-aware, so removing a large error pays more than removing a small one. It is a function of outcome only and never of the generator’s fault label, so the agent cannot learn to read a signal that will not exist at deployment. And both magnitude terms are clipped, so a single extreme spike cannot dominate an episode’s return and destabilise the Bellman targets. Imputation of a dropout is rewarded exactly for beating carry-forward, not for emitting anything at all.</w:t>
      </w:r>
    </w:p>
    <w:p>
      <w:pPr>
        <w:spacing w:after="60" w:line="240"/>
        <w:ind w:firstLine="288"/>
        <w:jc w:val="both"/>
      </w:pPr>
      <w:r>
        <w:rPr>
          <w:rFonts w:ascii="Times New Roman" w:cs="Times New Roman" w:eastAsia="Times New Roman" w:hAnsi="Times New Roman"/>
          <w:sz w:val="20"/>
          <w:szCs w:val="20"/>
        </w:rPr>
        <w:t xml:space="preserve">We note here, and return to it in Section VII, that this reward contains no cost for acting. A policy that intervenes on a stream requiring no intervention is penalised only through the error it introduces, which on a near-clean family is small in absolute terms. This is the specific cause of the over-correction reported in Section VI-C.</w:t>
      </w:r>
    </w:p>
    <w:p>
      <w:pPr>
        <w:spacing w:after="60" w:before="140"/>
        <w:jc w:val="left"/>
      </w:pPr>
      <w:r>
        <w:rPr>
          <w:rFonts w:ascii="Times New Roman" w:cs="Times New Roman" w:eastAsia="Times New Roman" w:hAnsi="Times New Roman"/>
          <w:i/>
          <w:iCs/>
          <w:sz w:val="20"/>
          <w:szCs w:val="20"/>
        </w:rPr>
        <w:t xml:space="preserve">F.  Agent and training</w:t>
      </w:r>
    </w:p>
    <w:p>
      <w:pPr>
        <w:spacing w:after="60" w:line="240"/>
        <w:ind w:firstLine="288"/>
        <w:jc w:val="both"/>
      </w:pPr>
      <w:r>
        <w:rPr>
          <w:rFonts w:ascii="Times New Roman" w:cs="Times New Roman" w:eastAsia="Times New Roman" w:hAnsi="Times New Roman"/>
          <w:sz w:val="20"/>
          <w:szCs w:val="20"/>
        </w:rPr>
        <w:t xml:space="preserve">We train a Double DQN [11] with a multilayer perceptron of shape 19 → 128 → 64 → 6, totalling 11,206 parameters; Adam at 3×10⁻⁴, batch size 64, γ = 0.99, Huber loss, gradient-norm clipping at 10, target network refreshed every 5 epochs, replay capacity 10,000, and 800 epochs of 24-hour episodes cycling the five fault families.</w:t>
      </w:r>
    </w:p>
    <w:p>
      <w:pPr>
        <w:spacing w:after="60" w:line="240"/>
        <w:ind w:firstLine="288"/>
        <w:jc w:val="both"/>
      </w:pPr>
      <w:r>
        <w:rPr>
          <w:rFonts w:ascii="Times New Roman" w:cs="Times New Roman" w:eastAsia="Times New Roman" w:hAnsi="Times New Roman"/>
          <w:sz w:val="20"/>
          <w:szCs w:val="20"/>
        </w:rPr>
        <w:t xml:space="preserve">Double Q-learning is not a default here but a response to an observed failure. Under plain DQN the maximisation over the target network allows the same noise that inflates an action’s estimated value to also select it, and behaviourally this appeared as a policy that over-corrected clean streams. We also record one deviation from our pre-registered plan: an ε-decay of 0.95 per epoch, applied literally, reaches the 0.02 floor at epoch 76, so an 800-epoch run would explore during only its first tenth. We derive the decay rate from the run length so that the schedule spans 70% of training, preserving the intended endpoints of 1.0 and 0.02. The literal value remains available as an explicit override.</w:t>
      </w:r>
    </w:p>
    <w:p>
      <w:pPr>
        <w:spacing w:after="60" w:before="140"/>
        <w:jc w:val="left"/>
      </w:pPr>
      <w:r>
        <w:rPr>
          <w:rFonts w:ascii="Times New Roman" w:cs="Times New Roman" w:eastAsia="Times New Roman" w:hAnsi="Times New Roman"/>
          <w:i/>
          <w:iCs/>
          <w:sz w:val="20"/>
          <w:szCs w:val="20"/>
        </w:rPr>
        <w:t xml:space="preserve">G.  Baselines</w:t>
      </w:r>
    </w:p>
    <w:p>
      <w:pPr>
        <w:spacing w:after="60" w:line="240"/>
        <w:ind w:firstLine="288"/>
        <w:jc w:val="both"/>
      </w:pPr>
      <w:r>
        <w:rPr>
          <w:rFonts w:ascii="Times New Roman" w:cs="Times New Roman" w:eastAsia="Times New Roman" w:hAnsi="Times New Roman"/>
          <w:sz w:val="20"/>
          <w:szCs w:val="20"/>
        </w:rPr>
        <w:t xml:space="preserve">We compare against three references. Do nothing passes the stream through unchanged, carrying the last value forward across a dropout; it is reported as a column rather than as an afterthought, because a cleaning method that cannot beat it is not worth deploying. Rule(cal) is a robust streaming filter operating under the identical causal constraint, with its rejection threshold, buffer length and warm-up period selected by grid search over 11 × 3 × 2 configurations on the training split only — the same tuning budget the agent receives. Rule(txt) is the same filter at the conventional Hampel cut-off z = 4, representing what a practitioner would reach for without calibrating on this channel. Reporting a hand-picked threshold without calibration is how a strawman baseline is built, and reporting only the calibrated one hides what an uncalibrated deployment would do; we therefore report both.</w:t>
      </w:r>
    </w:p>
    <w:p>
      <w:pPr>
        <w:spacing w:after="60" w:before="140"/>
        <w:jc w:val="left"/>
      </w:pPr>
      <w:r>
        <w:rPr>
          <w:rFonts w:ascii="Times New Roman" w:cs="Times New Roman" w:eastAsia="Times New Roman" w:hAnsi="Times New Roman"/>
          <w:i/>
          <w:iCs/>
          <w:sz w:val="20"/>
          <w:szCs w:val="20"/>
        </w:rPr>
        <w:t xml:space="preserve">H.  Metric</w:t>
      </w:r>
    </w:p>
    <w:p>
      <w:pPr>
        <w:spacing w:after="60" w:line="240"/>
        <w:ind w:firstLine="288"/>
        <w:jc w:val="both"/>
      </w:pPr>
      <w:r>
        <w:rPr>
          <w:rFonts w:ascii="Times New Roman" w:cs="Times New Roman" w:eastAsia="Times New Roman" w:hAnsi="Times New Roman"/>
          <w:sz w:val="20"/>
          <w:szCs w:val="20"/>
        </w:rPr>
        <w:t xml:space="preserve">All methods are scored through one implementation. Mean absolute error is computed over every timestep whose reference is a real measurement, with interpolated-sentinel positions excluded. Every method must emit a value at every timestep; an un-imputed dropout is charged for rather than filtered out of the average. This convention matters: under the alternative, a policy that emits nothing at a dropout scores a perfect zero, which is an artifact and not a result.</w:t>
      </w:r>
    </w:p>
    <w:p>
      <w:pPr>
        <w:spacing w:after="100" w:before="200"/>
        <w:jc w:val="center"/>
      </w:pPr>
      <w:r>
        <w:rPr>
          <w:rFonts w:ascii="Times New Roman" w:cs="Times New Roman" w:eastAsia="Times New Roman" w:hAnsi="Times New Roman"/>
          <w:sz w:val="20"/>
          <w:szCs w:val="20"/>
        </w:rPr>
        <w:t xml:space="preserve">V.  EXPERIMENTAL SETUP</w:t>
      </w:r>
    </w:p>
    <w:p>
      <w:pPr>
        <w:spacing w:after="60" w:line="240"/>
        <w:ind w:firstLine="288"/>
        <w:jc w:val="both"/>
      </w:pPr>
      <w:r>
        <w:rPr>
          <w:rFonts w:ascii="Times New Roman" w:cs="Times New Roman" w:eastAsia="Times New Roman" w:hAnsi="Times New Roman"/>
          <w:sz w:val="20"/>
          <w:szCs w:val="20"/>
        </w:rPr>
        <w:t xml:space="preserve">We evaluate on 30 held-out test windows of 24 hours per fault family. Window seeds are identical across methods, so every method sees the same windows with the same injected faults, and the per-window errors are paired observations. The RL column aggregates five independently trained seeds; per-window, the RL estimate is the mean across those five checkpoints, since five checkpoints are five samples of one training procedure rather than five methods.</w:t>
      </w:r>
    </w:p>
    <w:p>
      <w:pPr>
        <w:spacing w:after="60" w:line="240"/>
        <w:ind w:firstLine="288"/>
        <w:jc w:val="both"/>
      </w:pPr>
      <w:r>
        <w:rPr>
          <w:rFonts w:ascii="Times New Roman" w:cs="Times New Roman" w:eastAsia="Times New Roman" w:hAnsi="Times New Roman"/>
          <w:sz w:val="20"/>
          <w:szCs w:val="20"/>
        </w:rPr>
        <w:t xml:space="preserve">For significance we use the Wilcoxon signed-rank test [16] on paired per-window differences, two-sided, with zeros dropped and the count reported. A t-test is inappropriate here: the differences are heavily zero-inflated — on the duplicate family 61% of windows are unchanged — and right-skewed by a minority of large transients. Because each comparison is repeated across five fault families we apply the Holm–Bonferroni correction [17]. Alongside each test we report a percentile bootstrap 95% confidence interval on the mean paired difference over 10,000 resamples, because the signed-rank test concerns the median of the differences while the benchmark headline is a mean; as Section VI-C shows, on this data the two disagree, and that disagreement is itself the result.</w:t>
      </w:r>
    </w:p>
    <w:p>
      <w:pPr>
        <w:spacing w:after="100" w:before="200"/>
        <w:jc w:val="center"/>
      </w:pPr>
      <w:r>
        <w:rPr>
          <w:rFonts w:ascii="Times New Roman" w:cs="Times New Roman" w:eastAsia="Times New Roman" w:hAnsi="Times New Roman"/>
          <w:sz w:val="20"/>
          <w:szCs w:val="20"/>
        </w:rPr>
        <w:t xml:space="preserve">VI.  RESULTS</w:t>
      </w:r>
    </w:p>
    <w:p>
      <w:pPr>
        <w:spacing w:after="60" w:before="140"/>
        <w:jc w:val="left"/>
      </w:pPr>
      <w:r>
        <w:rPr>
          <w:rFonts w:ascii="Times New Roman" w:cs="Times New Roman" w:eastAsia="Times New Roman" w:hAnsi="Times New Roman"/>
          <w:i/>
          <w:iCs/>
          <w:sz w:val="20"/>
          <w:szCs w:val="20"/>
        </w:rPr>
        <w:t xml:space="preserve">A.  No finite threshold beats pass-through</w:t>
      </w:r>
    </w:p>
    <w:p>
      <w:pPr>
        <w:spacing w:after="60" w:line="240"/>
        <w:ind w:firstLine="288"/>
        <w:jc w:val="both"/>
      </w:pPr>
      <w:r>
        <w:rPr>
          <w:rFonts w:ascii="Times New Roman" w:cs="Times New Roman" w:eastAsia="Times New Roman" w:hAnsi="Times New Roman"/>
          <w:sz w:val="20"/>
          <w:szCs w:val="20"/>
        </w:rPr>
        <w:t xml:space="preserve">Table III reports the best training-split objective achieved at each rejection threshold in the calibration grid. The sequence is monotone: widening the gate always helps, out to the widest value searched.</w:t>
      </w:r>
    </w:p>
    <w:p>
      <w:pPr>
        <w:spacing w:after="0" w:before="160"/>
        <w:jc w:val="center"/>
      </w:pPr>
      <w:r>
        <w:rPr>
          <w:rFonts w:ascii="Times New Roman" w:cs="Times New Roman" w:eastAsia="Times New Roman" w:hAnsi="Times New Roman"/>
          <w:sz w:val="16"/>
          <w:szCs w:val="16"/>
        </w:rPr>
        <w:t xml:space="preserve">TABLE III</w:t>
      </w:r>
    </w:p>
    <w:p>
      <w:pPr>
        <w:spacing w:after="60"/>
        <w:jc w:val="center"/>
      </w:pPr>
      <w:r>
        <w:rPr>
          <w:rFonts w:ascii="Times New Roman" w:cs="Times New Roman" w:eastAsia="Times New Roman" w:hAnsi="Times New Roman"/>
          <w:sz w:val="16"/>
          <w:szCs w:val="16"/>
        </w:rPr>
        <w:t xml:space="preserve">RULE-FILTER THRESHOLD SWEEP (TRAINING SPLIT)</w:t>
      </w:r>
    </w:p>
    <w:tbl>
      <w:tblPr>
        <w:tblW w:type="dxa" w:w="5070"/>
        <w:tblBorders>
          <w:top w:val="single" w:color="auto" w:sz="4"/>
          <w:left w:val="single" w:color="auto" w:sz="4"/>
          <w:bottom w:val="single" w:color="auto" w:sz="4"/>
          <w:right w:val="single" w:color="auto" w:sz="4"/>
          <w:insideH w:val="single" w:color="auto" w:sz="4"/>
          <w:insideV w:val="single" w:color="auto" w:sz="4"/>
        </w:tblBorders>
      </w:tblPr>
      <w:tblGrid>
        <w:gridCol w:w="1150"/>
        <w:gridCol w:w="560"/>
        <w:gridCol w:w="560"/>
        <w:gridCol w:w="560"/>
        <w:gridCol w:w="560"/>
        <w:gridCol w:w="560"/>
        <w:gridCol w:w="560"/>
        <w:gridCol w:w="560"/>
      </w:tblGrid>
      <w:tr>
        <w:trPr>
          <w:tblHeader/>
        </w:trPr>
        <w:tc>
          <w:tcPr>
            <w:tcW w:type="dxa" w:w="115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z threshold</w:t>
            </w:r>
          </w:p>
        </w:tc>
        <w:tc>
          <w:tcPr>
            <w:tcW w:type="dxa" w:w="56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4</w:t>
            </w:r>
          </w:p>
        </w:tc>
        <w:tc>
          <w:tcPr>
            <w:tcW w:type="dxa" w:w="56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6</w:t>
            </w:r>
          </w:p>
        </w:tc>
        <w:tc>
          <w:tcPr>
            <w:tcW w:type="dxa" w:w="56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8</w:t>
            </w:r>
          </w:p>
        </w:tc>
        <w:tc>
          <w:tcPr>
            <w:tcW w:type="dxa" w:w="56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10</w:t>
            </w:r>
          </w:p>
        </w:tc>
        <w:tc>
          <w:tcPr>
            <w:tcW w:type="dxa" w:w="56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12</w:t>
            </w:r>
          </w:p>
        </w:tc>
        <w:tc>
          <w:tcPr>
            <w:tcW w:type="dxa" w:w="56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16</w:t>
            </w:r>
          </w:p>
        </w:tc>
        <w:tc>
          <w:tcPr>
            <w:tcW w:type="dxa" w:w="56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20</w:t>
            </w:r>
          </w:p>
        </w:tc>
      </w:tr>
      <w:tr>
        <w:tc>
          <w:tcPr>
            <w:tcW w:type="dxa" w:w="115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Best MAE</w:t>
            </w:r>
          </w:p>
        </w:tc>
        <w:tc>
          <w:tcPr>
            <w:tcW w:type="dxa" w:w="56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0.3724</w:t>
            </w:r>
          </w:p>
        </w:tc>
        <w:tc>
          <w:tcPr>
            <w:tcW w:type="dxa" w:w="56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0.2958</w:t>
            </w:r>
          </w:p>
        </w:tc>
        <w:tc>
          <w:tcPr>
            <w:tcW w:type="dxa" w:w="56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0.2826</w:t>
            </w:r>
          </w:p>
        </w:tc>
        <w:tc>
          <w:tcPr>
            <w:tcW w:type="dxa" w:w="56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0.2740</w:t>
            </w:r>
          </w:p>
        </w:tc>
        <w:tc>
          <w:tcPr>
            <w:tcW w:type="dxa" w:w="56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0.2727</w:t>
            </w:r>
          </w:p>
        </w:tc>
        <w:tc>
          <w:tcPr>
            <w:tcW w:type="dxa" w:w="56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0.2686</w:t>
            </w:r>
          </w:p>
        </w:tc>
        <w:tc>
          <w:tcPr>
            <w:tcW w:type="dxa" w:w="56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0.2617</w:t>
            </w:r>
          </w:p>
        </w:tc>
      </w:tr>
    </w:tbl>
    <w:p>
      <w:pPr>
        <w:spacing w:after="60" w:line="240"/>
        <w:ind w:firstLine="288"/>
        <w:jc w:val="both"/>
      </w:pPr>
      <w:r>
        <w:rPr>
          <w:rFonts w:ascii="Times New Roman" w:cs="Times New Roman" w:eastAsia="Times New Roman" w:hAnsi="Times New Roman"/>
          <w:sz w:val="20"/>
          <w:szCs w:val="20"/>
        </w:rPr>
        <w:t xml:space="preserve">The calibration therefore selects a gate so wide that it almost never fires. This is not a missing experiment but the honest outcome of calibrating: every narrower gate is worse. We verified the consequence directly on the test split — across all 150 windows the calibrated filter’s per-window MAE is bit-identical to pass-through, with every paired difference exactly zero. On this channel, at these fault amplitudes, hard thresholding does not earn its false-positive cost, which is the empirical content of the identifiability argument in Section III-B.</w:t>
      </w:r>
    </w:p>
    <w:p>
      <w:pPr>
        <w:spacing w:after="60" w:before="140"/>
        <w:jc w:val="left"/>
      </w:pPr>
      <w:r>
        <w:rPr>
          <w:rFonts w:ascii="Times New Roman" w:cs="Times New Roman" w:eastAsia="Times New Roman" w:hAnsi="Times New Roman"/>
          <w:i/>
          <w:iCs/>
          <w:sz w:val="20"/>
          <w:szCs w:val="20"/>
        </w:rPr>
        <w:t xml:space="preserve">B.  Benchmark results</w:t>
      </w:r>
    </w:p>
    <w:p>
      <w:pPr>
        <w:spacing w:after="60" w:line="240"/>
        <w:ind w:firstLine="288"/>
        <w:jc w:val="both"/>
      </w:pPr>
      <w:r>
        <w:rPr>
          <w:rFonts w:ascii="Times New Roman" w:cs="Times New Roman" w:eastAsia="Times New Roman" w:hAnsi="Times New Roman"/>
          <w:sz w:val="20"/>
          <w:szCs w:val="20"/>
        </w:rPr>
        <w:t xml:space="preserve">Table IV reports the main comparison. Relative MAE is each method’s error divided by that family’s own do-nothing error, so 1.000 means no improvement.</w:t>
      </w:r>
    </w:p>
    <w:p>
      <w:pPr>
        <w:spacing w:after="0" w:before="160"/>
        <w:jc w:val="center"/>
      </w:pPr>
      <w:r>
        <w:rPr>
          <w:rFonts w:ascii="Times New Roman" w:cs="Times New Roman" w:eastAsia="Times New Roman" w:hAnsi="Times New Roman"/>
          <w:sz w:val="16"/>
          <w:szCs w:val="16"/>
        </w:rPr>
        <w:t xml:space="preserve">TABLE IV</w:t>
      </w:r>
    </w:p>
    <w:p>
      <w:pPr>
        <w:spacing w:after="60"/>
        <w:jc w:val="center"/>
      </w:pPr>
      <w:r>
        <w:rPr>
          <w:rFonts w:ascii="Times New Roman" w:cs="Times New Roman" w:eastAsia="Times New Roman" w:hAnsi="Times New Roman"/>
          <w:sz w:val="16"/>
          <w:szCs w:val="16"/>
        </w:rPr>
        <w:t xml:space="preserve">HELD-OUT TEST RESULTS, 30 WINDOWS PER FAMILY, 5 SEEDS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430"/>
        <w:gridCol w:w="610"/>
        <w:gridCol w:w="610"/>
        <w:gridCol w:w="610"/>
        <w:gridCol w:w="610"/>
        <w:gridCol w:w="560"/>
        <w:gridCol w:w="610"/>
      </w:tblGrid>
      <w:tr>
        <w:trPr>
          <w:tblHeader/>
        </w:trPr>
        <w:tc>
          <w:tcPr>
            <w:tcW w:type="dxa" w:w="143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Fault family</w:t>
            </w:r>
          </w:p>
        </w:tc>
        <w:tc>
          <w:tcPr>
            <w:tcW w:type="dxa" w:w="61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Do nothing</w:t>
            </w:r>
          </w:p>
        </w:tc>
        <w:tc>
          <w:tcPr>
            <w:tcW w:type="dxa" w:w="61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Rule(cal)</w:t>
            </w:r>
          </w:p>
        </w:tc>
        <w:tc>
          <w:tcPr>
            <w:tcW w:type="dxa" w:w="61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Rule(txt)</w:t>
            </w:r>
          </w:p>
        </w:tc>
        <w:tc>
          <w:tcPr>
            <w:tcW w:type="dxa" w:w="61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RL</w:t>
            </w:r>
          </w:p>
        </w:tc>
        <w:tc>
          <w:tcPr>
            <w:tcW w:type="dxa" w:w="56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RL std</w:t>
            </w:r>
          </w:p>
        </w:tc>
        <w:tc>
          <w:tcPr>
            <w:tcW w:type="dxa" w:w="61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RL rel</w:t>
            </w:r>
          </w:p>
        </w:tc>
      </w:tr>
      <w:tr>
        <w:tc>
          <w:tcPr>
            <w:tcW w:type="dxa" w:w="143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Electrical spike</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0.2317</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0.2317</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0.4795</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0.1608</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0.0037</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0.694</w:t>
            </w:r>
          </w:p>
        </w:tc>
      </w:tr>
      <w:tr>
        <w:tc>
          <w:tcPr>
            <w:tcW w:type="dxa" w:w="143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Calibration drift</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0.2743</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0.2743</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0.5351</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0.2600</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0.0015</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0.948</w:t>
            </w:r>
          </w:p>
        </w:tc>
      </w:tr>
      <w:tr>
        <w:tc>
          <w:tcPr>
            <w:tcW w:type="dxa" w:w="143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Transmission dropout</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0.0627</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0.0627</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0.2861</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0.0946</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0.0018</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1.507</w:t>
            </w:r>
          </w:p>
        </w:tc>
      </w:tr>
      <w:tr>
        <w:tc>
          <w:tcPr>
            <w:tcW w:type="dxa" w:w="143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Duplicate packet</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0.0299</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0.0299</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0.3351</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0.0401</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0.0036</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1.344</w:t>
            </w:r>
          </w:p>
        </w:tc>
      </w:tr>
      <w:tr>
        <w:tc>
          <w:tcPr>
            <w:tcW w:type="dxa" w:w="143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Mixed real-world</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0.4863</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0.4863</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0.7697</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0.4457</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0.0126</w:t>
            </w:r>
          </w:p>
        </w:tc>
        <w:tc>
          <w:tcPr>
            <w:tcW w:type="dxa" w:w="61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0.916</w:t>
            </w:r>
          </w:p>
        </w:tc>
      </w:tr>
      <w:tr>
        <w:tc>
          <w:tcPr>
            <w:tcW w:type="dxa" w:w="143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b/>
                <w:bCs/>
                <w:sz w:val="15"/>
                <w:szCs w:val="15"/>
              </w:rPr>
              <w:t xml:space="preserve">Mean</w:t>
            </w:r>
          </w:p>
        </w:tc>
        <w:tc>
          <w:tcPr>
            <w:tcW w:type="dxa" w:w="61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bCs/>
                <w:sz w:val="15"/>
                <w:szCs w:val="15"/>
              </w:rPr>
              <w:t xml:space="preserve">0.2170</w:t>
            </w:r>
          </w:p>
        </w:tc>
        <w:tc>
          <w:tcPr>
            <w:tcW w:type="dxa" w:w="61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bCs/>
                <w:sz w:val="15"/>
                <w:szCs w:val="15"/>
              </w:rPr>
              <w:t xml:space="preserve">0.2170</w:t>
            </w:r>
          </w:p>
        </w:tc>
        <w:tc>
          <w:tcPr>
            <w:tcW w:type="dxa" w:w="61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bCs/>
                <w:sz w:val="15"/>
                <w:szCs w:val="15"/>
              </w:rPr>
              <w:t xml:space="preserve">0.4811</w:t>
            </w:r>
          </w:p>
        </w:tc>
        <w:tc>
          <w:tcPr>
            <w:tcW w:type="dxa" w:w="61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bCs/>
                <w:sz w:val="15"/>
                <w:szCs w:val="15"/>
              </w:rPr>
              <w:t xml:space="preserve">0.2002</w:t>
            </w:r>
          </w:p>
        </w:tc>
        <w:tc>
          <w:tcPr>
            <w:tcW w:type="dxa" w:w="56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bCs/>
                <w:sz w:val="15"/>
                <w:szCs w:val="15"/>
              </w:rPr>
              <w:t xml:space="preserve">—</w:t>
            </w:r>
          </w:p>
        </w:tc>
        <w:tc>
          <w:tcPr>
            <w:tcW w:type="dxa" w:w="61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bCs/>
                <w:sz w:val="15"/>
                <w:szCs w:val="15"/>
              </w:rPr>
              <w:t xml:space="preserve">1.082</w:t>
            </w:r>
          </w:p>
        </w:tc>
      </w:tr>
    </w:tbl>
    <w:p>
      <w:pPr>
        <w:spacing w:after="60" w:line="240"/>
        <w:ind w:firstLine="288"/>
        <w:jc w:val="both"/>
      </w:pPr>
      <w:r>
        <w:rPr>
          <w:rFonts w:ascii="Times New Roman" w:cs="Times New Roman" w:eastAsia="Times New Roman" w:hAnsi="Times New Roman"/>
          <w:sz w:val="20"/>
          <w:szCs w:val="20"/>
        </w:rPr>
        <w:t xml:space="preserve">Two aggregates disagree and both are reported. Mean absolute MAE favours the learned policy: 0.2002 against 0.2170 for the calibrated filter and 0.4811 for the conventional one. The equal-weight mean of per-family relative errors does not: 1.082, slightly worse than inaction. The disagreement has a simple cause. The five families differ in error scale by more than an order of magnitude, from 0.03 on duplicate to 0.49 on mixed, so an unweighted mean of ratios gives the two near-clean families the same weight as the two that carry almost all the absolute error. Which aggregate matters depends on the deployment, and we decline to choose one on the reader’s behalf.</w:t>
      </w:r>
    </w:p>
    <w:p>
      <w:pPr>
        <w:spacing w:after="60" w:line="240"/>
        <w:ind w:firstLine="288"/>
        <w:jc w:val="both"/>
      </w:pPr>
      <w:r>
        <w:rPr>
          <w:rFonts w:ascii="Times New Roman" w:cs="Times New Roman" w:eastAsia="Times New Roman" w:hAnsi="Times New Roman"/>
          <w:sz w:val="20"/>
          <w:szCs w:val="20"/>
        </w:rPr>
        <w:t xml:space="preserve">One result is unambiguous in either aggregate: neither rule configuration improves on doing nothing. Rule(cal) is identical to inaction by construction, and Rule(txt) is between 1.6 and 11.2 times worse on individual families. A naively tuned industrial filter is actively harmful on this signal.</w:t>
      </w:r>
    </w:p>
    <w:p>
      <w:pPr>
        <w:spacing w:after="60" w:before="140"/>
        <w:jc w:val="left"/>
      </w:pPr>
      <w:r>
        <w:rPr>
          <w:rFonts w:ascii="Times New Roman" w:cs="Times New Roman" w:eastAsia="Times New Roman" w:hAnsi="Times New Roman"/>
          <w:i/>
          <w:iCs/>
          <w:sz w:val="20"/>
          <w:szCs w:val="20"/>
        </w:rPr>
        <w:t xml:space="preserve">C.  Significance testing</w:t>
      </w:r>
    </w:p>
    <w:p>
      <w:pPr>
        <w:spacing w:after="60" w:line="240"/>
        <w:ind w:firstLine="288"/>
        <w:jc w:val="both"/>
      </w:pPr>
      <w:r>
        <w:rPr>
          <w:rFonts w:ascii="Times New Roman" w:cs="Times New Roman" w:eastAsia="Times New Roman" w:hAnsi="Times New Roman"/>
          <w:sz w:val="20"/>
          <w:szCs w:val="20"/>
        </w:rPr>
        <w:t xml:space="preserve">Table V reports paired Wilcoxon signed-rank tests with Holm correction and bootstrap confidence intervals. A negative mean difference favours the learned policy.</w:t>
      </w:r>
    </w:p>
    <w:p>
      <w:pPr>
        <w:spacing w:after="0" w:before="160"/>
        <w:jc w:val="center"/>
      </w:pPr>
      <w:r>
        <w:rPr>
          <w:rFonts w:ascii="Times New Roman" w:cs="Times New Roman" w:eastAsia="Times New Roman" w:hAnsi="Times New Roman"/>
          <w:sz w:val="16"/>
          <w:szCs w:val="16"/>
        </w:rPr>
        <w:t xml:space="preserve">TABLE V</w:t>
      </w:r>
    </w:p>
    <w:p>
      <w:pPr>
        <w:spacing w:after="60"/>
        <w:jc w:val="center"/>
      </w:pPr>
      <w:r>
        <w:rPr>
          <w:rFonts w:ascii="Times New Roman" w:cs="Times New Roman" w:eastAsia="Times New Roman" w:hAnsi="Times New Roman"/>
          <w:sz w:val="16"/>
          <w:szCs w:val="16"/>
        </w:rPr>
        <w:t xml:space="preserve">PAIRED TESTS, RL AGAINST EACH REFERENCE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670"/>
        <w:gridCol w:w="800"/>
        <w:gridCol w:w="1130"/>
        <w:gridCol w:w="740"/>
        <w:gridCol w:w="700"/>
      </w:tblGrid>
      <w:tr>
        <w:trPr>
          <w:tblHeader/>
        </w:trPr>
        <w:tc>
          <w:tcPr>
            <w:tcW w:type="dxa" w:w="167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Comparison / family</w:t>
            </w:r>
          </w:p>
        </w:tc>
        <w:tc>
          <w:tcPr>
            <w:tcW w:type="dxa" w:w="80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Mean diff.</w:t>
            </w:r>
          </w:p>
        </w:tc>
        <w:tc>
          <w:tcPr>
            <w:tcW w:type="dxa" w:w="113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95% CI</w:t>
            </w:r>
          </w:p>
        </w:tc>
        <w:tc>
          <w:tcPr>
            <w:tcW w:type="dxa" w:w="74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Median</w:t>
            </w:r>
          </w:p>
        </w:tc>
        <w:tc>
          <w:tcPr>
            <w:tcW w:type="dxa" w:w="70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p (Holm)</w:t>
            </w:r>
          </w:p>
        </w:tc>
      </w:tr>
      <w:tr>
        <w:tc>
          <w:tcPr>
            <w:tcW w:type="dxa" w:w="167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vs Rule(txt), pooled</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−0.2809</w:t>
            </w:r>
          </w:p>
        </w:tc>
        <w:tc>
          <w:tcPr>
            <w:tcW w:type="dxa" w:w="113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[−0.362, −0.209]</w:t>
            </w:r>
          </w:p>
        </w:tc>
        <w:tc>
          <w:tcPr>
            <w:tcW w:type="dxa" w:w="7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−0.1338</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1.6×10⁻¹⁷</w:t>
            </w:r>
          </w:p>
        </w:tc>
      </w:tr>
      <w:tr>
        <w:tc>
          <w:tcPr>
            <w:tcW w:type="dxa" w:w="167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vs Rule(cal) ≡ do nothing</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
            </w:r>
          </w:p>
        </w:tc>
        <w:tc>
          <w:tcPr>
            <w:tcW w:type="dxa" w:w="113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
            </w:r>
          </w:p>
        </w:tc>
        <w:tc>
          <w:tcPr>
            <w:tcW w:type="dxa" w:w="7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
            </w:r>
          </w:p>
        </w:tc>
      </w:tr>
      <w:tr>
        <w:tc>
          <w:tcPr>
            <w:tcW w:type="dxa" w:w="167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  Electrical spike</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−0.0709</w:t>
            </w:r>
          </w:p>
        </w:tc>
        <w:tc>
          <w:tcPr>
            <w:tcW w:type="dxa" w:w="113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[−0.098, −0.045]</w:t>
            </w:r>
          </w:p>
        </w:tc>
        <w:tc>
          <w:tcPr>
            <w:tcW w:type="dxa" w:w="7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−0.0606</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7.3×10⁻⁵</w:t>
            </w:r>
          </w:p>
        </w:tc>
      </w:tr>
      <w:tr>
        <w:tc>
          <w:tcPr>
            <w:tcW w:type="dxa" w:w="167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  Calibration drift</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−0.0142</w:t>
            </w:r>
          </w:p>
        </w:tc>
        <w:tc>
          <w:tcPr>
            <w:tcW w:type="dxa" w:w="113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[−0.032, +0.001]</w:t>
            </w:r>
          </w:p>
        </w:tc>
        <w:tc>
          <w:tcPr>
            <w:tcW w:type="dxa" w:w="7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−0.0008</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0.31  (n.s.)</w:t>
            </w:r>
          </w:p>
        </w:tc>
      </w:tr>
      <w:tr>
        <w:tc>
          <w:tcPr>
            <w:tcW w:type="dxa" w:w="167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  Transmission dropout</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+0.0318</w:t>
            </w:r>
          </w:p>
        </w:tc>
        <w:tc>
          <w:tcPr>
            <w:tcW w:type="dxa" w:w="113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[+0.018, +0.048]</w:t>
            </w:r>
          </w:p>
        </w:tc>
        <w:tc>
          <w:tcPr>
            <w:tcW w:type="dxa" w:w="7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+0.0151</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7.1×10⁻⁷</w:t>
            </w:r>
          </w:p>
        </w:tc>
      </w:tr>
      <w:tr>
        <w:tc>
          <w:tcPr>
            <w:tcW w:type="dxa" w:w="167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  Duplicate packet</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+0.0103</w:t>
            </w:r>
          </w:p>
        </w:tc>
        <w:tc>
          <w:tcPr>
            <w:tcW w:type="dxa" w:w="113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[+0.005, +0.017]</w:t>
            </w:r>
          </w:p>
        </w:tc>
        <w:tc>
          <w:tcPr>
            <w:tcW w:type="dxa" w:w="7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+0.0038</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1.7×10⁻⁶</w:t>
            </w:r>
          </w:p>
        </w:tc>
      </w:tr>
      <w:tr>
        <w:tc>
          <w:tcPr>
            <w:tcW w:type="dxa" w:w="167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  Mixed real-world</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−0.0406</w:t>
            </w:r>
          </w:p>
        </w:tc>
        <w:tc>
          <w:tcPr>
            <w:tcW w:type="dxa" w:w="113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[−0.070, −0.014]</w:t>
            </w:r>
          </w:p>
        </w:tc>
        <w:tc>
          <w:tcPr>
            <w:tcW w:type="dxa" w:w="7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−0.0329</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0.035</w:t>
            </w:r>
          </w:p>
        </w:tc>
      </w:tr>
      <w:tr>
        <w:tc>
          <w:tcPr>
            <w:tcW w:type="dxa" w:w="167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  Pooled, all families</w:t>
            </w:r>
          </w:p>
        </w:tc>
        <w:tc>
          <w:tcPr>
            <w:tcW w:type="dxa" w:w="80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−0.0167</w:t>
            </w:r>
          </w:p>
        </w:tc>
        <w:tc>
          <w:tcPr>
            <w:tcW w:type="dxa" w:w="113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[−0.028, −0.006]</w:t>
            </w:r>
          </w:p>
        </w:tc>
        <w:tc>
          <w:tcPr>
            <w:tcW w:type="dxa" w:w="74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+0.0008</w:t>
            </w:r>
          </w:p>
        </w:tc>
        <w:tc>
          <w:tcPr>
            <w:tcW w:type="dxa" w:w="70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0.49  (n.s.)</w:t>
            </w:r>
          </w:p>
        </w:tc>
      </w:tr>
    </w:tbl>
    <w:p>
      <w:pPr>
        <w:spacing w:after="60" w:line="240"/>
        <w:ind w:firstLine="288"/>
        <w:jc w:val="both"/>
      </w:pPr>
      <w:r>
        <w:rPr>
          <w:rFonts w:ascii="Times New Roman" w:cs="Times New Roman" w:eastAsia="Times New Roman" w:hAnsi="Times New Roman"/>
          <w:sz w:val="20"/>
          <w:szCs w:val="20"/>
        </w:rPr>
        <w:t xml:space="preserve">Three readings follow. First, the central claim of the paper survives decisively: against a conventional Hampel filter the learned policy is significantly better on every family individually and pooled, at p = 1.6×10⁻¹⁷.</w:t>
      </w:r>
    </w:p>
    <w:p>
      <w:pPr>
        <w:spacing w:after="60" w:line="240"/>
        <w:ind w:firstLine="288"/>
        <w:jc w:val="both"/>
      </w:pPr>
      <w:r>
        <w:rPr>
          <w:rFonts w:ascii="Times New Roman" w:cs="Times New Roman" w:eastAsia="Times New Roman" w:hAnsi="Times New Roman"/>
          <w:sz w:val="20"/>
          <w:szCs w:val="20"/>
        </w:rPr>
        <w:t xml:space="preserve">Second, against inaction the picture is mixed and must be stated as such. The spike and mixed families improve significantly. The drift family does not: the mean difference of −0.0142 has a confidence interval that includes zero and a Holm-corrected p of 0.31, so the 5.2% drift improvement visible in Table IV is not distinguishable from noise and we withdraw it as a claim. The dropout and duplicate families are significantly worse, at p ≈ 10⁻⁷ and 10⁻⁶ — this is systematic damage, not variance.</w:t>
      </w:r>
    </w:p>
    <w:p>
      <w:pPr>
        <w:spacing w:after="60" w:line="240"/>
        <w:ind w:firstLine="288"/>
        <w:jc w:val="both"/>
      </w:pPr>
      <w:r>
        <w:rPr>
          <w:rFonts w:ascii="Times New Roman" w:cs="Times New Roman" w:eastAsia="Times New Roman" w:hAnsi="Times New Roman"/>
          <w:sz w:val="20"/>
          <w:szCs w:val="20"/>
        </w:rPr>
        <w:t xml:space="preserve">Third, and most informative, the pooled row contains a genuine disagreement between its own statistics. The mean paired difference is −0.0167 with a bootstrap confidence interval of [−0.0277, −0.0062] that excludes zero, so the policy reduces error on average. But the median difference is +0.0008 and the signed-rank test returns p = 0.49, so the typical window is not improved. Both statements are true and they are not in conflict: the aggregate benefit is carried by a minority of windows containing large transients, where the absolute saving is large, against a majority of small losses. The practical consequence is sharp — a single window chosen at random is close to a coin flip and evidences nothing about the method.</w:t>
      </w:r>
    </w:p>
    <w:p>
      <w:pPr>
        <w:spacing w:after="60" w:before="140"/>
        <w:jc w:val="left"/>
      </w:pPr>
      <w:r>
        <w:rPr>
          <w:rFonts w:ascii="Times New Roman" w:cs="Times New Roman" w:eastAsia="Times New Roman" w:hAnsi="Times New Roman"/>
          <w:i/>
          <w:iCs/>
          <w:sz w:val="20"/>
          <w:szCs w:val="20"/>
        </w:rPr>
        <w:t xml:space="preserve">D.  Per-window outcome distribution</w:t>
      </w:r>
    </w:p>
    <w:p>
      <w:pPr>
        <w:spacing w:after="60" w:line="240"/>
        <w:ind w:firstLine="288"/>
        <w:jc w:val="both"/>
      </w:pPr>
      <w:r>
        <w:rPr>
          <w:rFonts w:ascii="Times New Roman" w:cs="Times New Roman" w:eastAsia="Times New Roman" w:hAnsi="Times New Roman"/>
          <w:sz w:val="20"/>
          <w:szCs w:val="20"/>
        </w:rPr>
        <w:t xml:space="preserve">Fig. 1 shows the 30 per-window differences behind each family mean. The distributions, not the means, are the finding.</w:t>
      </w:r>
    </w:p>
    <w:p>
      <w:pPr>
        <w:spacing w:after="0" w:before="160"/>
        <w:jc w:val="center"/>
      </w:pPr>
      <w:r>
        <w:drawing>
          <wp:inline distT="0" distB="0" distL="0" distR="0">
            <wp:extent cx="310515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05150" cy="1666875"/>
                    </a:xfrm>
                    <a:prstGeom prst="rect">
                      <a:avLst/>
                    </a:prstGeom>
                  </pic:spPr>
                </pic:pic>
              </a:graphicData>
            </a:graphic>
          </wp:inline>
        </w:drawing>
      </w:r>
    </w:p>
    <w:p>
      <w:pPr>
        <w:spacing w:after="160" w:before="60"/>
        <w:jc w:val="center"/>
      </w:pPr>
      <w:r>
        <w:rPr>
          <w:rFonts w:ascii="Times New Roman" w:cs="Times New Roman" w:eastAsia="Times New Roman" w:hAnsi="Times New Roman"/>
          <w:sz w:val="16"/>
          <w:szCs w:val="16"/>
        </w:rPr>
        <w:t xml:space="preserve">Fig. 1.  Per-window change in MAE by fault family. Green points are windows the policy improved, red points windows it damaged, the diamond is the family mean. Asterisks mark statistical significance only; they do not indicate direction — dropout and duplicate are significantly worse.</w:t>
      </w:r>
    </w:p>
    <w:p>
      <w:pPr>
        <w:spacing w:after="60" w:line="240"/>
        <w:ind w:firstLine="288"/>
        <w:jc w:val="both"/>
      </w:pPr>
      <w:r>
        <w:rPr>
          <w:rFonts w:ascii="Times New Roman" w:cs="Times New Roman" w:eastAsia="Times New Roman" w:hAnsi="Times New Roman"/>
          <w:sz w:val="20"/>
          <w:szCs w:val="20"/>
        </w:rPr>
        <w:t xml:space="preserve">Counting outcomes over all 750 episodes (30 windows × 5 seeds × 5 families), 34% of windows improve, 31% are unchanged and 35% are damaged. The split varies sharply by family: the policy improves 63% of spike windows and 65% of mixed windows, but damages 70% of dropout windows. Per-seed, pooled across families, only two of the five trained checkpoints reach significance against inaction on their own (p = 0.0023 and 0.0080); the other three do not (p = 0.23, 0.18, 0.13). We report this rather than the five-seed mean alone, because the mean alone would overstate the consistency of the effect.</w:t>
      </w:r>
    </w:p>
    <w:p>
      <w:pPr>
        <w:spacing w:after="60" w:before="140"/>
        <w:jc w:val="left"/>
      </w:pPr>
      <w:r>
        <w:rPr>
          <w:rFonts w:ascii="Times New Roman" w:cs="Times New Roman" w:eastAsia="Times New Roman" w:hAnsi="Times New Roman"/>
          <w:i/>
          <w:iCs/>
          <w:sz w:val="20"/>
          <w:szCs w:val="20"/>
        </w:rPr>
        <w:t xml:space="preserve">E.  What the policy actually learned</w:t>
      </w:r>
    </w:p>
    <w:p>
      <w:pPr>
        <w:spacing w:after="60" w:line="240"/>
        <w:ind w:firstLine="288"/>
        <w:jc w:val="both"/>
      </w:pPr>
      <w:r>
        <w:rPr>
          <w:rFonts w:ascii="Times New Roman" w:cs="Times New Roman" w:eastAsia="Times New Roman" w:hAnsi="Times New Roman"/>
          <w:sz w:val="20"/>
          <w:szCs w:val="20"/>
        </w:rPr>
        <w:t xml:space="preserve">Table VI reports the action distribution over all 3,600 decision steps per family on the held-out windows.</w:t>
      </w:r>
    </w:p>
    <w:p>
      <w:pPr>
        <w:spacing w:after="0" w:before="160"/>
        <w:jc w:val="center"/>
      </w:pPr>
      <w:r>
        <w:rPr>
          <w:rFonts w:ascii="Times New Roman" w:cs="Times New Roman" w:eastAsia="Times New Roman" w:hAnsi="Times New Roman"/>
          <w:sz w:val="16"/>
          <w:szCs w:val="16"/>
        </w:rPr>
        <w:t xml:space="preserve">TABLE VI</w:t>
      </w:r>
    </w:p>
    <w:p>
      <w:pPr>
        <w:spacing w:after="60"/>
        <w:jc w:val="center"/>
      </w:pPr>
      <w:r>
        <w:rPr>
          <w:rFonts w:ascii="Times New Roman" w:cs="Times New Roman" w:eastAsia="Times New Roman" w:hAnsi="Times New Roman"/>
          <w:sz w:val="16"/>
          <w:szCs w:val="16"/>
        </w:rPr>
        <w:t xml:space="preserve">LEARNED ACTION DISTRIBUTION (% OF STEPS)</w:t>
      </w:r>
    </w:p>
    <w:tbl>
      <w:tblPr>
        <w:tblW w:type="dxa" w:w="5050"/>
        <w:tblBorders>
          <w:top w:val="single" w:color="auto" w:sz="4"/>
          <w:left w:val="single" w:color="auto" w:sz="4"/>
          <w:bottom w:val="single" w:color="auto" w:sz="4"/>
          <w:right w:val="single" w:color="auto" w:sz="4"/>
          <w:insideH w:val="single" w:color="auto" w:sz="4"/>
          <w:insideV w:val="single" w:color="auto" w:sz="4"/>
        </w:tblBorders>
      </w:tblPr>
      <w:tblGrid>
        <w:gridCol w:w="1100"/>
        <w:gridCol w:w="680"/>
        <w:gridCol w:w="790"/>
        <w:gridCol w:w="740"/>
        <w:gridCol w:w="580"/>
        <w:gridCol w:w="580"/>
        <w:gridCol w:w="580"/>
      </w:tblGrid>
      <w:tr>
        <w:trPr>
          <w:tblHeader/>
        </w:trPr>
        <w:tc>
          <w:tcPr>
            <w:tcW w:type="dxa" w:w="110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Family</w:t>
            </w:r>
          </w:p>
        </w:tc>
        <w:tc>
          <w:tcPr>
            <w:tcW w:type="dxa" w:w="68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skip</w:t>
            </w:r>
          </w:p>
        </w:tc>
        <w:tc>
          <w:tcPr>
            <w:tcW w:type="dxa" w:w="79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fix_type</w:t>
            </w:r>
          </w:p>
        </w:tc>
        <w:tc>
          <w:tcPr>
            <w:tcW w:type="dxa" w:w="74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fix_cat.</w:t>
            </w:r>
          </w:p>
        </w:tc>
        <w:tc>
          <w:tcPr>
            <w:tcW w:type="dxa" w:w="58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fill</w:t>
            </w:r>
          </w:p>
        </w:tc>
        <w:tc>
          <w:tcPr>
            <w:tcW w:type="dxa" w:w="58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other</w:t>
            </w:r>
          </w:p>
        </w:tc>
        <w:tc>
          <w:tcPr>
            <w:tcW w:type="dxa" w:w="58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Acts</w:t>
            </w:r>
          </w:p>
        </w:tc>
      </w:tr>
      <w:t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Spike</w:t>
            </w:r>
          </w:p>
        </w:tc>
        <w:tc>
          <w:tcPr>
            <w:tcW w:type="dxa" w:w="68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92.5</w:t>
            </w:r>
          </w:p>
        </w:tc>
        <w:tc>
          <w:tcPr>
            <w:tcW w:type="dxa" w:w="79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1.8</w:t>
            </w:r>
          </w:p>
        </w:tc>
        <w:tc>
          <w:tcPr>
            <w:tcW w:type="dxa" w:w="7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2.4</w:t>
            </w:r>
          </w:p>
        </w:tc>
        <w:tc>
          <w:tcPr>
            <w:tcW w:type="dxa" w:w="58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1.7</w:t>
            </w:r>
          </w:p>
        </w:tc>
        <w:tc>
          <w:tcPr>
            <w:tcW w:type="dxa" w:w="58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1.5</w:t>
            </w:r>
          </w:p>
        </w:tc>
        <w:tc>
          <w:tcPr>
            <w:tcW w:type="dxa" w:w="58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7.5</w:t>
            </w:r>
          </w:p>
        </w:tc>
      </w:tr>
      <w:t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Drift</w:t>
            </w:r>
          </w:p>
        </w:tc>
        <w:tc>
          <w:tcPr>
            <w:tcW w:type="dxa" w:w="68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93.5</w:t>
            </w:r>
          </w:p>
        </w:tc>
        <w:tc>
          <w:tcPr>
            <w:tcW w:type="dxa" w:w="79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2.2</w:t>
            </w:r>
          </w:p>
        </w:tc>
        <w:tc>
          <w:tcPr>
            <w:tcW w:type="dxa" w:w="7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1.9</w:t>
            </w:r>
          </w:p>
        </w:tc>
        <w:tc>
          <w:tcPr>
            <w:tcW w:type="dxa" w:w="58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1.0</w:t>
            </w:r>
          </w:p>
        </w:tc>
        <w:tc>
          <w:tcPr>
            <w:tcW w:type="dxa" w:w="58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1.3</w:t>
            </w:r>
          </w:p>
        </w:tc>
        <w:tc>
          <w:tcPr>
            <w:tcW w:type="dxa" w:w="58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6.5</w:t>
            </w:r>
          </w:p>
        </w:tc>
      </w:tr>
      <w:t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Dropout</w:t>
            </w:r>
          </w:p>
        </w:tc>
        <w:tc>
          <w:tcPr>
            <w:tcW w:type="dxa" w:w="68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89.3</w:t>
            </w:r>
          </w:p>
        </w:tc>
        <w:tc>
          <w:tcPr>
            <w:tcW w:type="dxa" w:w="79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4.8</w:t>
            </w:r>
          </w:p>
        </w:tc>
        <w:tc>
          <w:tcPr>
            <w:tcW w:type="dxa" w:w="7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1.9</w:t>
            </w:r>
          </w:p>
        </w:tc>
        <w:tc>
          <w:tcPr>
            <w:tcW w:type="dxa" w:w="58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1.5</w:t>
            </w:r>
          </w:p>
        </w:tc>
        <w:tc>
          <w:tcPr>
            <w:tcW w:type="dxa" w:w="58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2.6</w:t>
            </w:r>
          </w:p>
        </w:tc>
        <w:tc>
          <w:tcPr>
            <w:tcW w:type="dxa" w:w="58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10.7</w:t>
            </w:r>
          </w:p>
        </w:tc>
      </w:tr>
      <w:t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Duplicate</w:t>
            </w:r>
          </w:p>
        </w:tc>
        <w:tc>
          <w:tcPr>
            <w:tcW w:type="dxa" w:w="68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96.7</w:t>
            </w:r>
          </w:p>
        </w:tc>
        <w:tc>
          <w:tcPr>
            <w:tcW w:type="dxa" w:w="79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0.8</w:t>
            </w:r>
          </w:p>
        </w:tc>
        <w:tc>
          <w:tcPr>
            <w:tcW w:type="dxa" w:w="7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1.1</w:t>
            </w:r>
          </w:p>
        </w:tc>
        <w:tc>
          <w:tcPr>
            <w:tcW w:type="dxa" w:w="58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0.6</w:t>
            </w:r>
          </w:p>
        </w:tc>
        <w:tc>
          <w:tcPr>
            <w:tcW w:type="dxa" w:w="58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0.8</w:t>
            </w:r>
          </w:p>
        </w:tc>
        <w:tc>
          <w:tcPr>
            <w:tcW w:type="dxa" w:w="58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3.3</w:t>
            </w:r>
          </w:p>
        </w:tc>
      </w:tr>
      <w:tr>
        <w:tc>
          <w:tcPr>
            <w:tcW w:type="dxa" w:w="110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Mixed</w:t>
            </w:r>
          </w:p>
        </w:tc>
        <w:tc>
          <w:tcPr>
            <w:tcW w:type="dxa" w:w="68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85.4</w:t>
            </w:r>
          </w:p>
        </w:tc>
        <w:tc>
          <w:tcPr>
            <w:tcW w:type="dxa" w:w="79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6.1</w:t>
            </w:r>
          </w:p>
        </w:tc>
        <w:tc>
          <w:tcPr>
            <w:tcW w:type="dxa" w:w="74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3.4</w:t>
            </w:r>
          </w:p>
        </w:tc>
        <w:tc>
          <w:tcPr>
            <w:tcW w:type="dxa" w:w="58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2.0</w:t>
            </w:r>
          </w:p>
        </w:tc>
        <w:tc>
          <w:tcPr>
            <w:tcW w:type="dxa" w:w="58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3.0</w:t>
            </w:r>
          </w:p>
        </w:tc>
        <w:tc>
          <w:tcPr>
            <w:tcW w:type="dxa" w:w="58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14.6</w:t>
            </w:r>
          </w:p>
        </w:tc>
      </w:tr>
    </w:tbl>
    <w:p>
      <w:pPr>
        <w:spacing w:after="60" w:line="240"/>
        <w:ind w:firstLine="288"/>
        <w:jc w:val="both"/>
      </w:pPr>
      <w:r>
        <w:rPr>
          <w:rFonts w:ascii="Times New Roman" w:cs="Times New Roman" w:eastAsia="Times New Roman" w:hAnsi="Times New Roman"/>
          <w:sz w:val="20"/>
          <w:szCs w:val="20"/>
        </w:rPr>
        <w:t xml:space="preserve">The mechanism is learned selective abstention. The policy declines to act on 85–97% of samples and applies a correction to the remainder, and the intervention rate is context-dependent: lowest on the duplicate family at 3.3%, where there is least to win, and highest on the mixed family at 14.6%, which carries the largest absolute error. When it does act it prefers bounded, partial corrections — clamping to the historical envelope on the spike family, where a corrupted value has been pushed outside the range the recent history established, and the halfway-to-baseline correction on dropout and mixed. Outright median replacement, the action closest to what a Hampel filter does, is the least-used action on every family.</w:t>
      </w:r>
    </w:p>
    <w:p>
      <w:pPr>
        <w:spacing w:after="60" w:line="240"/>
        <w:ind w:firstLine="288"/>
        <w:jc w:val="both"/>
      </w:pPr>
      <w:r>
        <w:rPr>
          <w:rFonts w:ascii="Times New Roman" w:cs="Times New Roman" w:eastAsia="Times New Roman" w:hAnsi="Times New Roman"/>
          <w:sz w:val="20"/>
          <w:szCs w:val="20"/>
        </w:rPr>
        <w:t xml:space="preserve">This is precisely the behaviour the causal constraint rewards. The policy is not solving the classification problem that Section III-B shows to be ill-posed; it is avoiding it, by acting rarely and by acting partially when it does. It also explains the failure mode: on the dropout family the policy acts on 10.7% of steps, close to the injected fault rate, but its imputations are worse than carry-forward, so a correct intervention rate paired with an inferior correction still yields net damage.</w:t>
      </w:r>
    </w:p>
    <w:p>
      <w:pPr>
        <w:spacing w:after="0" w:before="160"/>
        <w:jc w:val="center"/>
      </w:pPr>
      <w:r>
        <w:drawing>
          <wp:inline distT="0" distB="0" distL="0" distR="0">
            <wp:extent cx="3105150" cy="1914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05150" cy="1914525"/>
                    </a:xfrm>
                    <a:prstGeom prst="rect">
                      <a:avLst/>
                    </a:prstGeom>
                  </pic:spPr>
                </pic:pic>
              </a:graphicData>
            </a:graphic>
          </wp:inline>
        </w:drawing>
      </w:r>
    </w:p>
    <w:p>
      <w:pPr>
        <w:spacing w:after="160" w:before="60"/>
        <w:jc w:val="center"/>
      </w:pPr>
      <w:r>
        <w:rPr>
          <w:rFonts w:ascii="Times New Roman" w:cs="Times New Roman" w:eastAsia="Times New Roman" w:hAnsi="Times New Roman"/>
          <w:sz w:val="16"/>
          <w:szCs w:val="16"/>
        </w:rPr>
        <w:t xml:space="preserve">Fig. 2.  Training curves across 800 epochs. Checkpoint selection uses the validation split only.</w:t>
      </w:r>
    </w:p>
    <w:p>
      <w:pPr>
        <w:spacing w:after="60" w:before="140"/>
        <w:jc w:val="left"/>
      </w:pPr>
      <w:r>
        <w:rPr>
          <w:rFonts w:ascii="Times New Roman" w:cs="Times New Roman" w:eastAsia="Times New Roman" w:hAnsi="Times New Roman"/>
          <w:i/>
          <w:iCs/>
          <w:sz w:val="20"/>
          <w:szCs w:val="20"/>
        </w:rPr>
        <w:t xml:space="preserve">F.  Validation did not predict test</w:t>
      </w:r>
    </w:p>
    <w:p>
      <w:pPr>
        <w:spacing w:after="60" w:line="240"/>
        <w:ind w:firstLine="288"/>
        <w:jc w:val="both"/>
      </w:pPr>
      <w:r>
        <w:rPr>
          <w:rFonts w:ascii="Times New Roman" w:cs="Times New Roman" w:eastAsia="Times New Roman" w:hAnsi="Times New Roman"/>
          <w:sz w:val="20"/>
          <w:szCs w:val="20"/>
        </w:rPr>
        <w:t xml:space="preserve">Validation relative MAE averaged 0.9725 ± 0.0104 across the five seeds, spanning 0.9575 to 0.9858 — roughly a 3% improvement on inaction. Held-out test relative MAE averaged approximately 1.01, with per-seed values of 1.0172, 0.9977, 0.9994, 1.0245 and 1.0200. Selecting the best of about 32 validation evaluations per run is itself a selection bias, and this gap is a measurement of its size. The per-family test results are stable across seeds, with a spike-family standard deviation of 0.0037 on an MAE of 0.1608, but the aggregate claim of improvement over inaction does not survive the move to held-out data. We report the gap rather than the validation figure alone.</w:t>
      </w:r>
    </w:p>
    <w:p>
      <w:pPr>
        <w:spacing w:after="60" w:before="140"/>
        <w:jc w:val="left"/>
      </w:pPr>
      <w:r>
        <w:rPr>
          <w:rFonts w:ascii="Times New Roman" w:cs="Times New Roman" w:eastAsia="Times New Roman" w:hAnsi="Times New Roman"/>
          <w:i/>
          <w:iCs/>
          <w:sz w:val="20"/>
          <w:szCs w:val="20"/>
        </w:rPr>
        <w:t xml:space="preserve">G.  Computational cost</w:t>
      </w:r>
    </w:p>
    <w:p>
      <w:pPr>
        <w:spacing w:after="60" w:line="240"/>
        <w:ind w:firstLine="288"/>
        <w:jc w:val="both"/>
      </w:pPr>
      <w:r>
        <w:rPr>
          <w:rFonts w:ascii="Times New Roman" w:cs="Times New Roman" w:eastAsia="Times New Roman" w:hAnsi="Times New Roman"/>
          <w:sz w:val="20"/>
          <w:szCs w:val="20"/>
        </w:rPr>
        <w:t xml:space="preserve">Training runs 800 epochs in 83 seconds on an RTX 4050 Laptop GPU, and five seeds in approximately seven minutes. The resulting policy is an 11,206-parameter multilayer perceptron over a 19-dimensional input; inference is a single forward pass with O(1) memory, no lookahead and no dataset-wide normaliser, measured at 0.25 ms mean and 0.36 ms at the 95th percentile on the development host CPU. The pipeline auto-detects CUDA and falls back to CPU unchanged; unit tests and the reproduction notebook are CPU-only.</w:t>
      </w:r>
    </w:p>
    <w:p>
      <w:pPr>
        <w:spacing w:after="100" w:before="200"/>
        <w:jc w:val="center"/>
      </w:pPr>
      <w:r>
        <w:rPr>
          <w:rFonts w:ascii="Times New Roman" w:cs="Times New Roman" w:eastAsia="Times New Roman" w:hAnsi="Times New Roman"/>
          <w:sz w:val="20"/>
          <w:szCs w:val="20"/>
        </w:rPr>
        <w:t xml:space="preserve">VII.  DISCUSSION AND THREATS TO VALIDITY</w:t>
      </w:r>
    </w:p>
    <w:p>
      <w:pPr>
        <w:spacing w:after="60" w:before="140"/>
        <w:jc w:val="left"/>
      </w:pPr>
      <w:r>
        <w:rPr>
          <w:rFonts w:ascii="Times New Roman" w:cs="Times New Roman" w:eastAsia="Times New Roman" w:hAnsi="Times New Roman"/>
          <w:i/>
          <w:iCs/>
          <w:sz w:val="20"/>
          <w:szCs w:val="20"/>
        </w:rPr>
        <w:t xml:space="preserve">A.  The corruption model is ours</w:t>
      </w:r>
    </w:p>
    <w:p>
      <w:pPr>
        <w:spacing w:after="60" w:line="240"/>
        <w:ind w:firstLine="288"/>
        <w:jc w:val="both"/>
      </w:pPr>
      <w:r>
        <w:rPr>
          <w:rFonts w:ascii="Times New Roman" w:cs="Times New Roman" w:eastAsia="Times New Roman" w:hAnsi="Times New Roman"/>
          <w:sz w:val="20"/>
          <w:szCs w:val="20"/>
        </w:rPr>
        <w:t xml:space="preserve">The most significant threat to validity is that the faults are synthetic. The reference channel is treated as clean and corruption is injected under the model specified in Section IV-B, so our results measure performance against that model and not against field conditions. We adopt it because computing error requires a per-sample reference and no field IoT record provides one; the alternative is not a more realistic experiment but no quantitative experiment at all. Two qualifications are nonetheless owed. The injected amplitudes are a parameter we chose, and performance at other amplitudes is unmeasured. And the real channel is not pristine even after the sentinel positions are excluded: 18.0% of CO(GT) is a genuine hardware fault, and we measure the clean channel’s own innovations to have a 99th-percentile robust z-score of 8.8 with a maximum of 44 over 200 training windows.</w:t>
      </w:r>
    </w:p>
    <w:p>
      <w:pPr>
        <w:spacing w:after="60" w:before="140"/>
        <w:jc w:val="left"/>
      </w:pPr>
      <w:r>
        <w:rPr>
          <w:rFonts w:ascii="Times New Roman" w:cs="Times New Roman" w:eastAsia="Times New Roman" w:hAnsi="Times New Roman"/>
          <w:i/>
          <w:iCs/>
          <w:sz w:val="20"/>
          <w:szCs w:val="20"/>
        </w:rPr>
        <w:t xml:space="preserve">B.  The specified amplitude is marginal</w:t>
      </w:r>
    </w:p>
    <w:p>
      <w:pPr>
        <w:spacing w:after="60" w:line="240"/>
        <w:ind w:firstLine="288"/>
        <w:jc w:val="both"/>
      </w:pPr>
      <w:r>
        <w:rPr>
          <w:rFonts w:ascii="Times New Roman" w:cs="Times New Roman" w:eastAsia="Times New Roman" w:hAnsi="Times New Roman"/>
          <w:sz w:val="20"/>
          <w:szCs w:val="20"/>
        </w:rPr>
        <w:t xml:space="preserve">That last measurement has a direct consequence. Injected spikes at 2.5–4.0 standard deviations land inside the channel’s own innovation envelope, whose 99th percentile is 8.8. The faults are, by construction, hard to separate from genuine signal variation, and this caps what any causal method can achieve on this benchmark. We kept the amplitudes as specified rather than raising them to flatter the results, but a reader should not generalise the absolute numbers to a channel with a quieter baseline.</w:t>
      </w:r>
    </w:p>
    <w:p>
      <w:pPr>
        <w:spacing w:after="60" w:before="140"/>
        <w:jc w:val="left"/>
      </w:pPr>
      <w:r>
        <w:rPr>
          <w:rFonts w:ascii="Times New Roman" w:cs="Times New Roman" w:eastAsia="Times New Roman" w:hAnsi="Times New Roman"/>
          <w:i/>
          <w:iCs/>
          <w:sz w:val="20"/>
          <w:szCs w:val="20"/>
        </w:rPr>
        <w:t xml:space="preserve">C.  Over-correction and its cause</w:t>
      </w:r>
    </w:p>
    <w:p>
      <w:pPr>
        <w:spacing w:after="60" w:line="240"/>
        <w:ind w:firstLine="288"/>
        <w:jc w:val="both"/>
      </w:pPr>
      <w:r>
        <w:rPr>
          <w:rFonts w:ascii="Times New Roman" w:cs="Times New Roman" w:eastAsia="Times New Roman" w:hAnsi="Times New Roman"/>
          <w:sz w:val="20"/>
          <w:szCs w:val="20"/>
        </w:rPr>
        <w:t xml:space="preserve">The policy significantly damages the dropout and duplicate families. The percentages look dramatic — −50.7% and −34.4% — only because the denominators are near zero; in absolute terms the damage is +0.032 and +0.010 on a signal whose window standard deviation is approximately 1.1. The cause is identifiable rather than mysterious. The reward of Section IV-E contains no cost for acting, so a policy facing a stream that needs nothing has no positive incentive to remain still, and the skip bonus applies only below an absolute error of 0.2 in signal units. On a family whose entire uncorrected error is 0.03, the agent has nothing to gain and the reward does not tell it so. We regard the remedy as the clearest single path to making the aggregate claim hold, and specify it in Section IX.</w:t>
      </w:r>
    </w:p>
    <w:p>
      <w:pPr>
        <w:spacing w:after="60" w:before="140"/>
        <w:jc w:val="left"/>
      </w:pPr>
      <w:r>
        <w:rPr>
          <w:rFonts w:ascii="Times New Roman" w:cs="Times New Roman" w:eastAsia="Times New Roman" w:hAnsi="Times New Roman"/>
          <w:i/>
          <w:iCs/>
          <w:sz w:val="20"/>
          <w:szCs w:val="20"/>
        </w:rPr>
        <w:t xml:space="preserve">D.  Scope</w:t>
      </w:r>
    </w:p>
    <w:p>
      <w:pPr>
        <w:spacing w:after="60" w:line="240"/>
        <w:ind w:firstLine="288"/>
        <w:jc w:val="both"/>
      </w:pPr>
      <w:r>
        <w:rPr>
          <w:rFonts w:ascii="Times New Roman" w:cs="Times New Roman" w:eastAsia="Times New Roman" w:hAnsi="Times New Roman"/>
          <w:sz w:val="20"/>
          <w:szCs w:val="20"/>
        </w:rPr>
        <w:t xml:space="preserve">This is a single dataset, a single channel, a single algorithm and five seeds. The state encoder is scale-relative by construction and a unit test asserts the invariance, but cross-channel transfer is untested. We have not compared against a Kalman filter; its premises are violated here in three distinct ways — burst spikes are non-Gaussian, dropouts are not a noise process at all, and drift is a non-stationary mean shift, so fitting the process and measurement covariances on this channel is its own research problem — but we regard its absence as a genuine gap rather than a settled argument. We have likewise not compared against a recurrent policy, so we claim suitability of the chosen architecture for the edge budget, not superiority over alternatives.</w:t>
      </w:r>
    </w:p>
    <w:p>
      <w:pPr>
        <w:spacing w:after="60" w:before="140"/>
        <w:jc w:val="left"/>
      </w:pPr>
      <w:r>
        <w:rPr>
          <w:rFonts w:ascii="Times New Roman" w:cs="Times New Roman" w:eastAsia="Times New Roman" w:hAnsi="Times New Roman"/>
          <w:i/>
          <w:iCs/>
          <w:sz w:val="20"/>
          <w:szCs w:val="20"/>
        </w:rPr>
        <w:t xml:space="preserve">E.  Research-integrity note</w:t>
      </w:r>
    </w:p>
    <w:p>
      <w:pPr>
        <w:spacing w:after="60" w:line="240"/>
        <w:ind w:firstLine="288"/>
        <w:jc w:val="both"/>
      </w:pPr>
      <w:r>
        <w:rPr>
          <w:rFonts w:ascii="Times New Roman" w:cs="Times New Roman" w:eastAsia="Times New Roman" w:hAnsi="Times New Roman"/>
          <w:sz w:val="20"/>
          <w:szCs w:val="20"/>
        </w:rPr>
        <w:t xml:space="preserve">An earlier revision of this pipeline produced a results table that no valid experiment supported. An audit identified five defects: exploration was permanently zeroed at epoch 10 by an evaluation call, so the trained agent selected an unimplemented action on 110 of 120 steps and the reported RL output was in fact the raw stream; un-imputed dropout timesteps were filtered out of the error average, so a policy emitting nothing scored perfectly; the baseline fed its own replacements back into its history buffer and scored 0.208 MAE on perfectly clean input; and checkpoints were selected on the test split. A sixth defect was introduced during the repair and found afterwards: an unguarded checkpoint write caused the test suite to overwrite the published model with a 12-epoch artifact. All six are fixed and each has a named regression test asserting the specific failure. Both invalid-result episodes were caught by two independently computed figures disagreeing, not by code inspection, which we record because it is the only detection mechanism that worked.</w:t>
      </w:r>
    </w:p>
    <w:p>
      <w:pPr>
        <w:spacing w:after="100" w:before="200"/>
        <w:jc w:val="center"/>
      </w:pPr>
      <w:r>
        <w:rPr>
          <w:rFonts w:ascii="Times New Roman" w:cs="Times New Roman" w:eastAsia="Times New Roman" w:hAnsi="Times New Roman"/>
          <w:sz w:val="20"/>
          <w:szCs w:val="20"/>
        </w:rPr>
        <w:t xml:space="preserve">VIII.  PROPOSED EDGE DEPLOYMENT</w:t>
      </w:r>
    </w:p>
    <w:p>
      <w:pPr>
        <w:spacing w:after="60" w:line="240"/>
        <w:ind w:firstLine="288"/>
        <w:jc w:val="both"/>
      </w:pPr>
      <w:r>
        <w:rPr>
          <w:rFonts w:ascii="Times New Roman" w:cs="Times New Roman" w:eastAsia="Times New Roman" w:hAnsi="Times New Roman"/>
          <w:sz w:val="20"/>
          <w:szCs w:val="20"/>
        </w:rPr>
        <w:t xml:space="preserve">The intended deployment target is a microcontroller-class sensing node. We state plainly that no physical hardware has been tested, and Table VII gives the per-component status so that the distinction between what is implemented, designed and planned is not left to the reader to infer.</w:t>
      </w:r>
    </w:p>
    <w:p>
      <w:pPr>
        <w:spacing w:after="0" w:before="160"/>
        <w:jc w:val="center"/>
      </w:pPr>
      <w:r>
        <w:rPr>
          <w:rFonts w:ascii="Times New Roman" w:cs="Times New Roman" w:eastAsia="Times New Roman" w:hAnsi="Times New Roman"/>
          <w:sz w:val="16"/>
          <w:szCs w:val="16"/>
        </w:rPr>
        <w:t xml:space="preserve">TABLE VII</w:t>
      </w:r>
    </w:p>
    <w:p>
      <w:pPr>
        <w:spacing w:after="60"/>
        <w:jc w:val="center"/>
      </w:pPr>
      <w:r>
        <w:rPr>
          <w:rFonts w:ascii="Times New Roman" w:cs="Times New Roman" w:eastAsia="Times New Roman" w:hAnsi="Times New Roman"/>
          <w:sz w:val="16"/>
          <w:szCs w:val="16"/>
        </w:rPr>
        <w:t xml:space="preserve">DEPLOYMENT COMPONENT STATUS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2600"/>
        <w:gridCol w:w="2440"/>
      </w:tblGrid>
      <w:tr>
        <w:trPr>
          <w:tblHeader/>
        </w:trPr>
        <w:tc>
          <w:tcPr>
            <w:tcW w:type="dxa" w:w="260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Component</w:t>
            </w:r>
          </w:p>
        </w:tc>
        <w:tc>
          <w:tcPr>
            <w:tcW w:type="dxa" w:w="2440"/>
            <w:tcBorders>
              <w:top w:val="single" w:color="000000" w:sz="6"/>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b w:val="false"/>
                <w:bCs w:val="false"/>
                <w:sz w:val="15"/>
                <w:szCs w:val="15"/>
              </w:rPr>
              <w:t xml:space="preserve">Status</w:t>
            </w:r>
          </w:p>
        </w:tc>
      </w:tr>
      <w:tr>
        <w:tc>
          <w:tcPr>
            <w:tcW w:type="dxa" w:w="26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Policy training and evaluation</w:t>
            </w:r>
          </w:p>
        </w:tc>
        <w:tc>
          <w:tcPr>
            <w:tcW w:type="dxa" w:w="24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Implemented, reproducible</w:t>
            </w:r>
          </w:p>
        </w:tc>
      </w:tr>
      <w:tr>
        <w:tc>
          <w:tcPr>
            <w:tcW w:type="dxa" w:w="26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Serial / replay inference bridge</w:t>
            </w:r>
          </w:p>
        </w:tc>
        <w:tc>
          <w:tcPr>
            <w:tcW w:type="dxa" w:w="24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Implemented; replay-tested only</w:t>
            </w:r>
          </w:p>
        </w:tc>
      </w:tr>
      <w:tr>
        <w:tc>
          <w:tcPr>
            <w:tcW w:type="dxa" w:w="26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Circuit design and pinout</w:t>
            </w:r>
          </w:p>
        </w:tc>
        <w:tc>
          <w:tcPr>
            <w:tcW w:type="dxa" w:w="24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Designed, never wired</w:t>
            </w:r>
          </w:p>
        </w:tc>
      </w:tr>
      <w:tr>
        <w:tc>
          <w:tcPr>
            <w:tcW w:type="dxa" w:w="26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ESP32 firmware sketch</w:t>
            </w:r>
          </w:p>
        </w:tc>
        <w:tc>
          <w:tcPr>
            <w:tcW w:type="dxa" w:w="24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Written, not flashed</w:t>
            </w:r>
          </w:p>
        </w:tc>
      </w:tr>
      <w:tr>
        <w:tc>
          <w:tcPr>
            <w:tcW w:type="dxa" w:w="260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Simulation run</w:t>
            </w:r>
          </w:p>
        </w:tc>
        <w:tc>
          <w:tcPr>
            <w:tcW w:type="dxa" w:w="2440"/>
            <w:tcBorders>
              <w:top w:val="none" w:color="FFFFFF" w:sz="0"/>
              <w:left w:val="none" w:color="FFFFFF" w:sz="0"/>
              <w:bottom w:val="none" w:color="FFFFFF" w:sz="0"/>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Planned; none recorded</w:t>
            </w:r>
          </w:p>
        </w:tc>
      </w:tr>
      <w:tr>
        <w:tc>
          <w:tcPr>
            <w:tcW w:type="dxa" w:w="260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left"/>
            </w:pPr>
            <w:r>
              <w:rPr>
                <w:rFonts w:ascii="Times New Roman" w:cs="Times New Roman" w:eastAsia="Times New Roman" w:hAnsi="Times New Roman"/>
                <w:sz w:val="15"/>
                <w:szCs w:val="15"/>
              </w:rPr>
              <w:t xml:space="preserve">On-device latency and RAM</w:t>
            </w:r>
          </w:p>
        </w:tc>
        <w:tc>
          <w:tcPr>
            <w:tcW w:type="dxa" w:w="2440"/>
            <w:tcBorders>
              <w:top w:val="none" w:color="FFFFFF" w:sz="0"/>
              <w:left w:val="none" w:color="FFFFFF" w:sz="0"/>
              <w:bottom w:val="single" w:color="000000" w:sz="6"/>
              <w:right w:val="none" w:color="FFFFFF" w:sz="0"/>
            </w:tcBorders>
            <w:tcMar>
              <w:top w:type="dxa" w:w="20"/>
              <w:left w:type="dxa" w:w="50"/>
              <w:bottom w:type="dxa" w:w="20"/>
              <w:right w:type="dxa" w:w="50"/>
            </w:tcMar>
          </w:tcPr>
          <w:p>
            <w:pPr>
              <w:spacing w:after="0" w:line="200"/>
              <w:jc w:val="center"/>
            </w:pPr>
            <w:r>
              <w:rPr>
                <w:rFonts w:ascii="Times New Roman" w:cs="Times New Roman" w:eastAsia="Times New Roman" w:hAnsi="Times New Roman"/>
                <w:sz w:val="15"/>
                <w:szCs w:val="15"/>
              </w:rPr>
              <w:t xml:space="preserve">Not measured</w:t>
            </w:r>
          </w:p>
        </w:tc>
      </w:tr>
    </w:tbl>
    <w:p>
      <w:pPr>
        <w:spacing w:after="60" w:line="240"/>
        <w:ind w:firstLine="288"/>
        <w:jc w:val="both"/>
      </w:pPr>
      <w:r>
        <w:rPr>
          <w:rFonts w:ascii="Times New Roman" w:cs="Times New Roman" w:eastAsia="Times New Roman" w:hAnsi="Times New Roman"/>
          <w:sz w:val="20"/>
          <w:szCs w:val="20"/>
        </w:rPr>
        <w:t xml:space="preserve">The feasibility argument is an argument and not a measurement. The policy is an 11,206-parameter network over a 19-dimensional input assembled from one packet and five retained floats; inference is one forward pass with constant memory and no lookahead, and the scale-relative encoder removes any need for a dataset-wide normaliser the device could not compute. Prior work establishes that networks of this size execute on microcontroller-class hardware [14]. What we have measured is 0.25 ms mean inference on a development host CPU, which is a host number; an ESP32-class figure requires flashing the board and timing it there. A further untested gap is that the policy was trained on the UCI air-quality channel rather than on the output of the metal-oxide sensor intended for the node, whose scale and noise characteristics differ. The scale-relative encoding is the reason to expect some transfer; it is not evidence of transfer.</w:t>
      </w:r>
    </w:p>
    <w:p>
      <w:pPr>
        <w:spacing w:after="0" w:before="160"/>
        <w:jc w:val="center"/>
      </w:pPr>
      <w:r>
        <w:drawing>
          <wp:inline distT="0" distB="0" distL="0" distR="0">
            <wp:extent cx="3105150" cy="1266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1266825"/>
                    </a:xfrm>
                    <a:prstGeom prst="rect">
                      <a:avLst/>
                    </a:prstGeom>
                  </pic:spPr>
                </pic:pic>
              </a:graphicData>
            </a:graphic>
          </wp:inline>
        </w:drawing>
      </w:r>
    </w:p>
    <w:p>
      <w:pPr>
        <w:spacing w:after="160" w:before="60"/>
        <w:jc w:val="center"/>
      </w:pPr>
      <w:r>
        <w:rPr>
          <w:rFonts w:ascii="Times New Roman" w:cs="Times New Roman" w:eastAsia="Times New Roman" w:hAnsi="Times New Roman"/>
          <w:sz w:val="16"/>
          <w:szCs w:val="16"/>
        </w:rPr>
        <w:t xml:space="preserve">Fig. 3.  A representative spike-family window: corrupted input, policy output and reference. The window shown is the one whose error reduction sits nearest the family median, not the best available window.</w:t>
      </w:r>
    </w:p>
    <w:p>
      <w:pPr>
        <w:spacing w:after="100" w:before="200"/>
        <w:jc w:val="center"/>
      </w:pPr>
      <w:r>
        <w:rPr>
          <w:rFonts w:ascii="Times New Roman" w:cs="Times New Roman" w:eastAsia="Times New Roman" w:hAnsi="Times New Roman"/>
          <w:sz w:val="20"/>
          <w:szCs w:val="20"/>
        </w:rPr>
        <w:t xml:space="preserve">IX.  CONCLUSION AND FUTURE WORK</w:t>
      </w:r>
    </w:p>
    <w:p>
      <w:pPr>
        <w:spacing w:after="60" w:line="240"/>
        <w:ind w:firstLine="288"/>
        <w:jc w:val="both"/>
      </w:pPr>
      <w:r>
        <w:rPr>
          <w:rFonts w:ascii="Times New Roman" w:cs="Times New Roman" w:eastAsia="Times New Roman" w:hAnsi="Times New Roman"/>
          <w:sz w:val="20"/>
          <w:szCs w:val="20"/>
        </w:rPr>
        <w:t xml:space="preserve">We asked whether a learned policy beats static rule-based filtering for sensor-stream correction under a strictly causal constraint. Against rule-based filtering the answer is yes, and significantly so: the learned policy reduces mean absolute error to 0.2002 against 0.4811 for a conventional Hampel filter, with a paired advantage on every fault family at p = 1.6×10⁻¹⁷. The more interesting result is why the rule filter cannot win. We traced it to an identifiability limit of causal filtering, verified it with a threshold sweep that is monotone across the grid, and confirmed that the calibrated filter is bit-identical to inaction on every test window.</w:t>
      </w:r>
    </w:p>
    <w:p>
      <w:pPr>
        <w:spacing w:after="60" w:line="240"/>
        <w:ind w:firstLine="288"/>
        <w:jc w:val="both"/>
      </w:pPr>
      <w:r>
        <w:rPr>
          <w:rFonts w:ascii="Times New Roman" w:cs="Times New Roman" w:eastAsia="Times New Roman" w:hAnsi="Times New Roman"/>
          <w:sz w:val="20"/>
          <w:szCs w:val="20"/>
        </w:rPr>
        <w:t xml:space="preserve">Against inaction the answer is conditional and we have stated the condition precisely. The policy significantly improves the two families carrying large transients, is indistinguishable from inaction on drift, and significantly damages the two families whose uncorrected error is already near zero. Pooled, the mean improvement is real while the median is not, because the benefit is concentrated in a minority of windows. The mechanism behind both the gain and the failure is the same: the policy learned to abstain on 85–97% of samples and to correct partially on the rest, which is the right response to a decision the constraint makes ill-posed, but it has no incentive to abstain more on a stream that needs nothing.</w:t>
      </w:r>
    </w:p>
    <w:p>
      <w:pPr>
        <w:spacing w:after="60" w:line="240"/>
        <w:ind w:firstLine="288"/>
        <w:jc w:val="both"/>
      </w:pPr>
      <w:r>
        <w:rPr>
          <w:rFonts w:ascii="Times New Roman" w:cs="Times New Roman" w:eastAsia="Times New Roman" w:hAnsi="Times New Roman"/>
          <w:sz w:val="20"/>
          <w:szCs w:val="20"/>
        </w:rPr>
        <w:t xml:space="preserve">Future work follows directly, in priority order. First, introduce an explicit action cost into the reward, or a learned abstention, and select its magnitude on the validation split rather than on test; this targets the over-correction directly and is the clearest single path to making the aggregate claim hold. Second, add Kalman-filter and offline-oracle baselines to bracket the learned policy from the classical and the acausal sides — an oracle-greedy policy permitted to see the reward already reaches 98.5% error reduction on spikes in our instrumentation, which quantifies what the online constraint costs and confirms that the action space is capable. Third, sweep the spike amplitude to map the detectability boundary and convert a stated limitation into a measured curve. Fourth, evaluate on a second channel with a lower sentinel rate to test the scale-relative encoder’s transfer claim. Fifth, replace the feasibility argument of Section VIII with on-device latency and memory measurements.</w:t>
      </w:r>
    </w:p>
    <w:p>
      <w:pPr>
        <w:spacing w:after="100" w:before="200"/>
        <w:jc w:val="center"/>
      </w:pPr>
      <w:r>
        <w:rPr>
          <w:rFonts w:ascii="Times New Roman" w:cs="Times New Roman" w:eastAsia="Times New Roman" w:hAnsi="Times New Roman"/>
          <w:sz w:val="20"/>
          <w:szCs w:val="20"/>
        </w:rPr>
        <w:t xml:space="preserve">REFERENCES</w:t>
      </w:r>
    </w:p>
    <w:p>
      <w:pPr>
        <w:spacing w:after="40" w:line="200"/>
        <w:ind w:left="316" w:hanging="316"/>
        <w:jc w:val="both"/>
      </w:pPr>
      <w:r>
        <w:rPr>
          <w:rFonts w:ascii="Times New Roman" w:cs="Times New Roman" w:eastAsia="Times New Roman" w:hAnsi="Times New Roman"/>
          <w:sz w:val="16"/>
          <w:szCs w:val="16"/>
        </w:rPr>
        <w:t xml:space="preserve">[1] I. F. Ilyas and X. Chu, Data Cleaning. New York, NY, USA: ACM Books, 2019.</w:t>
      </w:r>
    </w:p>
    <w:p>
      <w:pPr>
        <w:spacing w:after="40" w:line="200"/>
        <w:ind w:left="316" w:hanging="316"/>
        <w:jc w:val="both"/>
      </w:pPr>
      <w:r>
        <w:rPr>
          <w:rFonts w:ascii="Times New Roman" w:cs="Times New Roman" w:eastAsia="Times New Roman" w:hAnsi="Times New Roman"/>
          <w:sz w:val="16"/>
          <w:szCs w:val="16"/>
        </w:rPr>
        <w:t xml:space="preserve">[2] X. Chu, I. F. Ilyas, S. Krishnan, and J. Wang, “Data cleaning: Overview and emerging challenges,” in Proc. ACM SIGMOD Int. Conf. Management of Data, 2016, pp. 2201–2206.</w:t>
      </w:r>
    </w:p>
    <w:p>
      <w:pPr>
        <w:spacing w:after="40" w:line="200"/>
        <w:ind w:left="316" w:hanging="316"/>
        <w:jc w:val="both"/>
      </w:pPr>
      <w:r>
        <w:rPr>
          <w:rFonts w:ascii="Times New Roman" w:cs="Times New Roman" w:eastAsia="Times New Roman" w:hAnsi="Times New Roman"/>
          <w:sz w:val="16"/>
          <w:szCs w:val="16"/>
        </w:rPr>
        <w:t xml:space="preserve">[3] S. Krishnan, J. Wang, E. Wu, M. J. Franklin, and K. Goldberg, “ActiveClean: Interactive data cleaning for statistical modeling,” Proc. VLDB Endowment, vol. 9, no. 12, pp. 948–959, 2016.</w:t>
      </w:r>
    </w:p>
    <w:p>
      <w:pPr>
        <w:spacing w:after="40" w:line="200"/>
        <w:ind w:left="316" w:hanging="316"/>
        <w:jc w:val="both"/>
      </w:pPr>
      <w:r>
        <w:rPr>
          <w:rFonts w:ascii="Times New Roman" w:cs="Times New Roman" w:eastAsia="Times New Roman" w:hAnsi="Times New Roman"/>
          <w:sz w:val="16"/>
          <w:szCs w:val="16"/>
        </w:rPr>
        <w:t xml:space="preserve">[4] T. Rekatsinas, X. Chu, I. F. Ilyas, and C. Ré, “HoloClean: Holistic data repairs with probabilistic inference,” Proc. VLDB Endowment, vol. 10, no. 11, pp. 1190–1201, 2017.</w:t>
      </w:r>
    </w:p>
    <w:p>
      <w:pPr>
        <w:spacing w:after="40" w:line="200"/>
        <w:ind w:left="316" w:hanging="316"/>
        <w:jc w:val="both"/>
      </w:pPr>
      <w:r>
        <w:rPr>
          <w:rFonts w:ascii="Times New Roman" w:cs="Times New Roman" w:eastAsia="Times New Roman" w:hAnsi="Times New Roman"/>
          <w:sz w:val="16"/>
          <w:szCs w:val="16"/>
        </w:rPr>
        <w:t xml:space="preserve">[5] R. K. Pearson, Y. Neuvo, J. Astola, and M. Gabbouj, “Generalized Hampel filters,” EURASIP J. Advances in Signal Processing, vol. 2016, art. 87, 2016.</w:t>
      </w:r>
    </w:p>
    <w:p>
      <w:pPr>
        <w:spacing w:after="40" w:line="200"/>
        <w:ind w:left="316" w:hanging="316"/>
        <w:jc w:val="both"/>
      </w:pPr>
      <w:r>
        <w:rPr>
          <w:rFonts w:ascii="Times New Roman" w:cs="Times New Roman" w:eastAsia="Times New Roman" w:hAnsi="Times New Roman"/>
          <w:sz w:val="16"/>
          <w:szCs w:val="16"/>
        </w:rPr>
        <w:t xml:space="preserve">[6] V. Chandola, A. Banerjee, and V. Kumar, “Anomaly detection: A survey,” ACM Computing Surveys, vol. 41, no. 3, pp. 1–58, 2009.</w:t>
      </w:r>
    </w:p>
    <w:p>
      <w:pPr>
        <w:spacing w:after="40" w:line="200"/>
        <w:ind w:left="316" w:hanging="316"/>
        <w:jc w:val="both"/>
      </w:pPr>
      <w:r>
        <w:rPr>
          <w:rFonts w:ascii="Times New Roman" w:cs="Times New Roman" w:eastAsia="Times New Roman" w:hAnsi="Times New Roman"/>
          <w:sz w:val="16"/>
          <w:szCs w:val="16"/>
        </w:rPr>
        <w:t xml:space="preserve">[7] A. A. Cook, G. Mısırlı, and Z. Fan, “Anomaly detection for IoT time-series data: A survey,” IEEE Internet of Things Journal, vol. 7, no. 7, 2020, doi: 10.1109/JIOT.2019.2958185.</w:t>
      </w:r>
    </w:p>
    <w:p>
      <w:pPr>
        <w:spacing w:after="40" w:line="200"/>
        <w:ind w:left="316" w:hanging="316"/>
        <w:jc w:val="both"/>
      </w:pPr>
      <w:r>
        <w:rPr>
          <w:rFonts w:ascii="Times New Roman" w:cs="Times New Roman" w:eastAsia="Times New Roman" w:hAnsi="Times New Roman"/>
          <w:sz w:val="16"/>
          <w:szCs w:val="16"/>
        </w:rPr>
        <w:t xml:space="preserve">[8] R. E. Kalman, “A new approach to linear filtering and prediction problems,” J. Basic Engineering, vol. 82, no. 1, pp. 35–45, 1960.</w:t>
      </w:r>
    </w:p>
    <w:p>
      <w:pPr>
        <w:spacing w:after="40" w:line="200"/>
        <w:ind w:left="316" w:hanging="316"/>
        <w:jc w:val="both"/>
      </w:pPr>
      <w:r>
        <w:rPr>
          <w:rFonts w:ascii="Times New Roman" w:cs="Times New Roman" w:eastAsia="Times New Roman" w:hAnsi="Times New Roman"/>
          <w:sz w:val="16"/>
          <w:szCs w:val="16"/>
        </w:rPr>
        <w:t xml:space="preserve">[9] J. Gama, I. Žliobaitė, A. Bifet, M. Pechenizkiy, and A. Bouchachia, “A survey on concept drift adaptation,” ACM Computing Surveys, vol. 46, no. 4, pp. 1–37, 2014.</w:t>
      </w:r>
    </w:p>
    <w:p>
      <w:pPr>
        <w:spacing w:after="40" w:line="200"/>
        <w:ind w:left="316" w:hanging="316"/>
        <w:jc w:val="both"/>
      </w:pPr>
      <w:r>
        <w:rPr>
          <w:rFonts w:ascii="Times New Roman" w:cs="Times New Roman" w:eastAsia="Times New Roman" w:hAnsi="Times New Roman"/>
          <w:sz w:val="16"/>
          <w:szCs w:val="16"/>
        </w:rPr>
        <w:t xml:space="preserve">[10] V. Mnih et al., “Human-level control through deep reinforcement learning,” Nature, vol. 518, no. 7540, pp. 529–533, 2015.</w:t>
      </w:r>
    </w:p>
    <w:p>
      <w:pPr>
        <w:spacing w:after="40" w:line="200"/>
        <w:ind w:left="316" w:hanging="316"/>
        <w:jc w:val="both"/>
      </w:pPr>
      <w:r>
        <w:rPr>
          <w:rFonts w:ascii="Times New Roman" w:cs="Times New Roman" w:eastAsia="Times New Roman" w:hAnsi="Times New Roman"/>
          <w:sz w:val="16"/>
          <w:szCs w:val="16"/>
        </w:rPr>
        <w:t xml:space="preserve">[11] H. van Hasselt, A. Guez, and D. Silver, “Deep reinforcement learning with double Q-learning,” in Proc. AAAI Conf. Artificial Intelligence, 2016, pp. 2094–2100.</w:t>
      </w:r>
    </w:p>
    <w:p>
      <w:pPr>
        <w:spacing w:after="40" w:line="200"/>
        <w:ind w:left="316" w:hanging="316"/>
        <w:jc w:val="both"/>
      </w:pPr>
      <w:r>
        <w:rPr>
          <w:rFonts w:ascii="Times New Roman" w:cs="Times New Roman" w:eastAsia="Times New Roman" w:hAnsi="Times New Roman"/>
          <w:sz w:val="16"/>
          <w:szCs w:val="16"/>
        </w:rPr>
        <w:t xml:space="preserve">[12] R. S. Sutton and A. G. Barto, Reinforcement Learning: An Introduction, 2nd ed. Cambridge, MA, USA: MIT Press, 2018.</w:t>
      </w:r>
    </w:p>
    <w:p>
      <w:pPr>
        <w:spacing w:after="40" w:line="200"/>
        <w:ind w:left="316" w:hanging="316"/>
        <w:jc w:val="both"/>
      </w:pPr>
      <w:r>
        <w:rPr>
          <w:rFonts w:ascii="Times New Roman" w:cs="Times New Roman" w:eastAsia="Times New Roman" w:hAnsi="Times New Roman"/>
          <w:sz w:val="16"/>
          <w:szCs w:val="16"/>
        </w:rPr>
        <w:t xml:space="preserve">[13] P. Henderson, R. Islam, P. Bachman, J. Pineau, D. Precup, and D. Meger, “Deep reinforcement learning that matters,” in Proc. AAAI Conf. Artificial Intelligence, 2018, pp. 3207–3214.</w:t>
      </w:r>
    </w:p>
    <w:p>
      <w:pPr>
        <w:spacing w:after="40" w:line="200"/>
        <w:ind w:left="316" w:hanging="316"/>
        <w:jc w:val="both"/>
      </w:pPr>
      <w:r>
        <w:rPr>
          <w:rFonts w:ascii="Times New Roman" w:cs="Times New Roman" w:eastAsia="Times New Roman" w:hAnsi="Times New Roman"/>
          <w:sz w:val="16"/>
          <w:szCs w:val="16"/>
        </w:rPr>
        <w:t xml:space="preserve">[14] R. David et al., “TensorFlow Lite Micro: Embedded machine learning for TinyML systems,” in Proc. Machine Learning and Systems (MLSys), vol. 3, 2021, pp. 800–811.</w:t>
      </w:r>
    </w:p>
    <w:p>
      <w:pPr>
        <w:spacing w:after="40" w:line="200"/>
        <w:ind w:left="316" w:hanging="316"/>
        <w:jc w:val="both"/>
      </w:pPr>
      <w:r>
        <w:rPr>
          <w:rFonts w:ascii="Times New Roman" w:cs="Times New Roman" w:eastAsia="Times New Roman" w:hAnsi="Times New Roman"/>
          <w:sz w:val="16"/>
          <w:szCs w:val="16"/>
        </w:rPr>
        <w:t xml:space="preserve">[15] S. De Vito, E. Massera, M. Piga, L. Martinotto, and G. Di Francia, “On field calibration of an electronic nose for benzene estimation in an urban pollution monitoring scenario,” Sensors and Actuators B: Chemical, vol. 129, no. 2, pp. 750–757, 2008.</w:t>
      </w:r>
    </w:p>
    <w:p>
      <w:pPr>
        <w:spacing w:after="40" w:line="200"/>
        <w:ind w:left="316" w:hanging="316"/>
        <w:jc w:val="both"/>
      </w:pPr>
      <w:r>
        <w:rPr>
          <w:rFonts w:ascii="Times New Roman" w:cs="Times New Roman" w:eastAsia="Times New Roman" w:hAnsi="Times New Roman"/>
          <w:sz w:val="16"/>
          <w:szCs w:val="16"/>
        </w:rPr>
        <w:t xml:space="preserve">[16] F. Wilcoxon, “Individual comparisons by ranking methods,” Biometrics Bulletin, vol. 1, no. 6, pp. 80–83, 1945.</w:t>
      </w:r>
    </w:p>
    <w:p>
      <w:pPr>
        <w:spacing w:after="40" w:line="200"/>
        <w:ind w:left="316" w:hanging="316"/>
        <w:jc w:val="both"/>
      </w:pPr>
      <w:r>
        <w:rPr>
          <w:rFonts w:ascii="Times New Roman" w:cs="Times New Roman" w:eastAsia="Times New Roman" w:hAnsi="Times New Roman"/>
          <w:sz w:val="16"/>
          <w:szCs w:val="16"/>
        </w:rPr>
        <w:t xml:space="preserve">[17] S. Holm, “A simple sequentially rejective multiple test procedure,” Scandinavian J. Statistics, vol. 6, no. 2, pp. 65–70, 1979.</w:t>
      </w:r>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7f15f3da3d0b180768f69b4f1f7d7a4b606dd4b.png"/><Relationship Id="rId8" Type="http://schemas.openxmlformats.org/officeDocument/2006/relationships/image" Target="media/5625b2c61125843f374c488305235699d1d89f34.png"/><Relationship Id="rId9" Type="http://schemas.openxmlformats.org/officeDocument/2006/relationships/image" Target="media/2ec2a8f374a3ac3ed61a366ef6897abc36a91d5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RL-Cleanse: Learned Sequential Correction of Noisy IoT Sensor Streams</dc:title>
  <dc:creator>Anubhav Kiroula</dc:creator>
  <cp:lastModifiedBy>Un-named</cp:lastModifiedBy>
  <cp:revision>1</cp:revision>
  <dcterms:created xsi:type="dcterms:W3CDTF">2026-10-13T19:39:20.030Z</dcterms:created>
  <dcterms:modified xsi:type="dcterms:W3CDTF">2026-10-13T19:39:20.032Z</dcterms:modified>
</cp:coreProperties>
</file>

<file path=docProps/custom.xml><?xml version="1.0" encoding="utf-8"?>
<Properties xmlns="http://schemas.openxmlformats.org/officeDocument/2006/custom-properties" xmlns:vt="http://schemas.openxmlformats.org/officeDocument/2006/docPropsVTypes"/>
</file>