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line="276" w:lineRule="auto"/>
        <w:jc w:val="left"/>
      </w:pPr>
      <w:r>
        <w:rPr>
          <w:rFonts w:ascii="Aptos Display" w:hAnsi="Aptos Display"/>
          <w:b/>
          <w:color w:val="163A70"/>
          <w:sz w:val="52"/>
        </w:rPr>
        <w:t>EDGE LMS 2030</w:t>
      </w:r>
    </w:p>
    <w:p>
      <w:pPr>
        <w:spacing w:before="0" w:after="120" w:line="276" w:lineRule="auto"/>
      </w:pPr>
      <w:r>
        <w:rPr>
          <w:b/>
          <w:color w:val="224F8F"/>
          <w:sz w:val="36"/>
        </w:rPr>
        <w:t>Chapter 1 - Strategic Blueprint</w:t>
      </w:r>
    </w:p>
    <w:p>
      <w:pPr>
        <w:spacing w:before="0" w:after="320" w:line="276" w:lineRule="auto"/>
      </w:pPr>
      <w:r>
        <w:rPr>
          <w:i/>
          <w:color w:val="5A6B85"/>
          <w:sz w:val="22"/>
        </w:rPr>
        <w:t>Development specification for Bubble-based implementation by Devansh</w:t>
      </w:r>
    </w:p>
    <w:tbl>
      <w:tblPr>
        <w:tblW w:type="auto" w:w="0"/>
        <w:jc w:val="left"/>
        <w:tblLayout w:type="fixed"/>
        <w:tblLook w:firstColumn="1" w:firstRow="1" w:lastColumn="0" w:lastRow="0" w:noHBand="0" w:noVBand="1" w:val="04A0"/>
        <w:tblBorders>
          <w:top w:val="single" w:sz="8" w:space="0" w:color="C8D8F0"/>
          <w:left w:val="single" w:sz="8" w:space="0" w:color="C8D8F0"/>
          <w:bottom w:val="single" w:sz="8" w:space="0" w:color="C8D8F0"/>
          <w:right w:val="single" w:sz="8" w:space="0" w:color="C8D8F0"/>
          <w:insideH w:val="single" w:sz="8" w:space="0" w:color="C8D8F0"/>
          <w:insideV w:val="single" w:sz="8" w:space="0" w:color="C8D8F0"/>
        </w:tblBorders>
      </w:tblPr>
      <w:tblGrid>
        <w:gridCol w:w="8928"/>
      </w:tblGrid>
      <w:tr>
        <w:tc>
          <w:tcPr>
            <w:tcW w:type="dxa" w:w="9638"/>
            <w:shd w:fill="EFF5FC"/>
            <w:tcMar>
              <w:top w:w="120" w:type="dxa"/>
              <w:start w:w="130" w:type="dxa"/>
              <w:bottom w:w="120" w:type="dxa"/>
              <w:end w:w="130" w:type="dxa"/>
            </w:tcMar>
          </w:tcPr>
          <w:p>
            <w:pPr>
              <w:spacing w:before="0" w:after="0" w:line="288" w:lineRule="auto"/>
            </w:pPr>
            <w:r>
              <w:rPr>
                <w:b/>
                <w:color w:val="163A70"/>
              </w:rPr>
              <w:t xml:space="preserve">Purpose. </w:t>
            </w:r>
            <w:r>
              <w:rPr>
                <w:color w:val="30435E"/>
              </w:rPr>
              <w:t>This chapter defines the long-term product direction, architectural boundary, design doctrine, and non-negotiable build principles for Edge LMS. It is the foundation chapter that should guide all later module, workflow, and data-model decisions.</w:t>
            </w:r>
          </w:p>
        </w:tc>
      </w:tr>
    </w:tbl>
    <w:p>
      <w:pPr>
        <w:spacing w:before="160" w:after="0" w:line="276" w:lineRule="auto"/>
      </w:pPr>
      <w:r>
        <w:rPr>
          <w:color w:val="6A7485"/>
          <w:sz w:val="19"/>
        </w:rPr>
        <w:t>Prepared for Strengthscape | Vision horizon: 2030</w:t>
      </w:r>
    </w:p>
    <w:p>
      <w:r>
        <w:br w:type="page"/>
      </w:r>
    </w:p>
    <w:p>
      <w:pPr>
        <w:pStyle w:val="Heading1"/>
        <w:spacing w:before="0" w:after="160" w:line="276" w:lineRule="auto"/>
      </w:pPr>
      <w:r>
        <w:t>1. Overview chart</w:t>
      </w:r>
    </w:p>
    <w:tbl>
      <w:tblPr>
        <w:tblW w:type="auto" w:w="0"/>
        <w:jc w:val="center"/>
        <w:tblLayout w:type="fixed"/>
        <w:tblLook w:firstColumn="1" w:firstRow="1" w:lastColumn="0" w:lastRow="0" w:noHBand="0" w:noVBand="1" w:val="04A0"/>
        <w:tblBorders>
          <w:top w:val="single" w:sz="6" w:space="0" w:color="C9D3E6"/>
          <w:left w:val="single" w:sz="6" w:space="0" w:color="C9D3E6"/>
          <w:bottom w:val="single" w:sz="6" w:space="0" w:color="C9D3E6"/>
          <w:right w:val="single" w:sz="6" w:space="0" w:color="C9D3E6"/>
          <w:insideH w:val="single" w:sz="6" w:space="0" w:color="C9D3E6"/>
          <w:insideV w:val="single" w:sz="6" w:space="0" w:color="C9D3E6"/>
        </w:tblBorders>
      </w:tblPr>
      <w:tblGrid>
        <w:gridCol w:w="1928"/>
        <w:gridCol w:w="1928"/>
        <w:gridCol w:w="1928"/>
        <w:gridCol w:w="1928"/>
        <w:gridCol w:w="1928"/>
      </w:tblGrid>
      <w:tr>
        <w:tc>
          <w:tcPr>
            <w:tcW w:type="dxa" w:w="1728"/>
            <w:vAlign w:val="center"/>
            <w:tcMar>
              <w:top w:w="90" w:type="dxa"/>
              <w:start w:w="85" w:type="dxa"/>
              <w:bottom w:w="90" w:type="dxa"/>
              <w:end w:w="85" w:type="dxa"/>
            </w:tcMar>
            <w:shd w:fill="234A84"/>
          </w:tcPr>
          <w:p>
            <w:pPr>
              <w:spacing w:before="0" w:after="0" w:line="264" w:lineRule="auto"/>
              <w:jc w:val="center"/>
            </w:pPr>
            <w:r>
              <w:rPr>
                <w:b/>
                <w:color w:val="FFFFFF"/>
                <w:sz w:val="18"/>
              </w:rPr>
              <w:t>Layer</w:t>
            </w:r>
          </w:p>
        </w:tc>
        <w:tc>
          <w:tcPr>
            <w:tcW w:type="dxa" w:w="2952"/>
            <w:vAlign w:val="center"/>
            <w:tcMar>
              <w:top w:w="90" w:type="dxa"/>
              <w:start w:w="85" w:type="dxa"/>
              <w:bottom w:w="90" w:type="dxa"/>
              <w:end w:w="85" w:type="dxa"/>
            </w:tcMar>
            <w:shd w:fill="234A84"/>
          </w:tcPr>
          <w:p>
            <w:pPr>
              <w:spacing w:before="0" w:after="0" w:line="264" w:lineRule="auto"/>
              <w:jc w:val="center"/>
            </w:pPr>
            <w:r>
              <w:rPr>
                <w:b/>
                <w:color w:val="FFFFFF"/>
                <w:sz w:val="18"/>
              </w:rPr>
              <w:t>What it does</w:t>
            </w:r>
          </w:p>
        </w:tc>
        <w:tc>
          <w:tcPr>
            <w:tcW w:type="dxa" w:w="1944"/>
            <w:vAlign w:val="center"/>
            <w:tcMar>
              <w:top w:w="90" w:type="dxa"/>
              <w:start w:w="85" w:type="dxa"/>
              <w:bottom w:w="90" w:type="dxa"/>
              <w:end w:w="85" w:type="dxa"/>
            </w:tcMar>
            <w:shd w:fill="234A84"/>
          </w:tcPr>
          <w:p>
            <w:pPr>
              <w:spacing w:before="0" w:after="0" w:line="264" w:lineRule="auto"/>
              <w:jc w:val="center"/>
            </w:pPr>
            <w:r>
              <w:rPr>
                <w:b/>
                <w:color w:val="FFFFFF"/>
                <w:sz w:val="18"/>
              </w:rPr>
              <w:t>Primary user</w:t>
            </w:r>
          </w:p>
        </w:tc>
        <w:tc>
          <w:tcPr>
            <w:tcW w:type="dxa" w:w="2016"/>
            <w:vAlign w:val="center"/>
            <w:tcMar>
              <w:top w:w="90" w:type="dxa"/>
              <w:start w:w="85" w:type="dxa"/>
              <w:bottom w:w="90" w:type="dxa"/>
              <w:end w:w="85" w:type="dxa"/>
            </w:tcMar>
            <w:shd w:fill="234A84"/>
          </w:tcPr>
          <w:p>
            <w:pPr>
              <w:spacing w:before="0" w:after="0" w:line="264" w:lineRule="auto"/>
              <w:jc w:val="center"/>
            </w:pPr>
            <w:r>
              <w:rPr>
                <w:b/>
                <w:color w:val="FFFFFF"/>
                <w:sz w:val="18"/>
              </w:rPr>
              <w:t>Bubble or external</w:t>
            </w:r>
          </w:p>
        </w:tc>
        <w:tc>
          <w:tcPr>
            <w:tcW w:type="dxa" w:w="2736"/>
            <w:vAlign w:val="center"/>
            <w:tcMar>
              <w:top w:w="90" w:type="dxa"/>
              <w:start w:w="85" w:type="dxa"/>
              <w:bottom w:w="90" w:type="dxa"/>
              <w:end w:w="85" w:type="dxa"/>
            </w:tcMar>
            <w:shd w:fill="234A84"/>
          </w:tcPr>
          <w:p>
            <w:pPr>
              <w:spacing w:before="0" w:after="0" w:line="264" w:lineRule="auto"/>
              <w:jc w:val="center"/>
            </w:pPr>
            <w:r>
              <w:rPr>
                <w:b/>
                <w:color w:val="FFFFFF"/>
                <w:sz w:val="18"/>
              </w:rPr>
              <w:t>Why it matters</w:t>
            </w:r>
          </w:p>
        </w:tc>
      </w:tr>
      <w:tr>
        <w:tc>
          <w:tcPr>
            <w:tcW w:type="dxa" w:w="1728"/>
            <w:vAlign w:val="center"/>
            <w:tcMar>
              <w:top w:w="90" w:type="dxa"/>
              <w:start w:w="85" w:type="dxa"/>
              <w:bottom w:w="90" w:type="dxa"/>
              <w:end w:w="85" w:type="dxa"/>
            </w:tcMar>
            <w:shd w:fill="F7FAFE"/>
          </w:tcPr>
          <w:p>
            <w:pPr>
              <w:spacing w:before="0" w:after="0" w:line="264" w:lineRule="auto"/>
              <w:jc w:val="center"/>
            </w:pPr>
            <w:r>
              <w:rPr>
                <w:b/>
                <w:color w:val="163A70"/>
                <w:sz w:val="18"/>
              </w:rPr>
              <w:t>Experience Layer</w:t>
            </w:r>
          </w:p>
        </w:tc>
        <w:tc>
          <w:tcPr>
            <w:tcW w:type="dxa" w:w="2952"/>
            <w:vAlign w:val="center"/>
            <w:tcMar>
              <w:top w:w="90" w:type="dxa"/>
              <w:start w:w="85" w:type="dxa"/>
              <w:bottom w:w="90" w:type="dxa"/>
              <w:end w:w="85" w:type="dxa"/>
            </w:tcMar>
          </w:tcPr>
          <w:p>
            <w:pPr>
              <w:spacing w:before="0" w:after="0" w:line="264" w:lineRule="auto"/>
              <w:jc w:val="left"/>
            </w:pPr>
            <w:r>
              <w:rPr>
                <w:color w:val="223246"/>
                <w:sz w:val="18"/>
              </w:rPr>
              <w:t>Dashboards, portals, AI prompt entry, admin views, reports</w:t>
            </w:r>
          </w:p>
        </w:tc>
        <w:tc>
          <w:tcPr>
            <w:tcW w:type="dxa" w:w="1944"/>
            <w:vAlign w:val="center"/>
            <w:tcMar>
              <w:top w:w="90" w:type="dxa"/>
              <w:start w:w="85" w:type="dxa"/>
              <w:bottom w:w="90" w:type="dxa"/>
              <w:end w:w="85" w:type="dxa"/>
            </w:tcMar>
          </w:tcPr>
          <w:p>
            <w:pPr>
              <w:spacing w:before="0" w:after="0" w:line="264" w:lineRule="auto"/>
              <w:jc w:val="center"/>
            </w:pPr>
            <w:r>
              <w:rPr>
                <w:color w:val="223246"/>
                <w:sz w:val="18"/>
              </w:rPr>
              <w:t>Learners, client admins, Strengthscape admins</w:t>
            </w:r>
          </w:p>
        </w:tc>
        <w:tc>
          <w:tcPr>
            <w:tcW w:type="dxa" w:w="2016"/>
            <w:vAlign w:val="center"/>
            <w:tcMar>
              <w:top w:w="90" w:type="dxa"/>
              <w:start w:w="85" w:type="dxa"/>
              <w:bottom w:w="90" w:type="dxa"/>
              <w:end w:w="85" w:type="dxa"/>
            </w:tcMar>
          </w:tcPr>
          <w:p>
            <w:pPr>
              <w:spacing w:before="0" w:after="0" w:line="264" w:lineRule="auto"/>
              <w:jc w:val="center"/>
            </w:pPr>
            <w:r>
              <w:rPr>
                <w:color w:val="223246"/>
                <w:sz w:val="18"/>
              </w:rPr>
              <w:t>Bubble</w:t>
            </w:r>
          </w:p>
        </w:tc>
        <w:tc>
          <w:tcPr>
            <w:tcW w:type="dxa" w:w="2736"/>
            <w:vAlign w:val="center"/>
            <w:tcMar>
              <w:top w:w="90" w:type="dxa"/>
              <w:start w:w="85" w:type="dxa"/>
              <w:bottom w:w="90" w:type="dxa"/>
              <w:end w:w="85" w:type="dxa"/>
            </w:tcMar>
          </w:tcPr>
          <w:p>
            <w:pPr>
              <w:spacing w:before="0" w:after="0" w:line="264" w:lineRule="auto"/>
              <w:jc w:val="left"/>
            </w:pPr>
            <w:r>
              <w:rPr>
                <w:color w:val="223246"/>
                <w:sz w:val="18"/>
              </w:rPr>
              <w:t>Controls the visible product experience and workflow logic</w:t>
            </w:r>
          </w:p>
        </w:tc>
      </w:tr>
      <w:tr>
        <w:tc>
          <w:tcPr>
            <w:tcW w:type="dxa" w:w="1728"/>
            <w:vAlign w:val="center"/>
            <w:tcMar>
              <w:top w:w="90" w:type="dxa"/>
              <w:start w:w="85" w:type="dxa"/>
              <w:bottom w:w="90" w:type="dxa"/>
              <w:end w:w="85" w:type="dxa"/>
            </w:tcMar>
            <w:shd w:fill="F7FAFE"/>
          </w:tcPr>
          <w:p>
            <w:pPr>
              <w:spacing w:before="0" w:after="0" w:line="264" w:lineRule="auto"/>
              <w:jc w:val="center"/>
            </w:pPr>
            <w:r>
              <w:rPr>
                <w:b/>
                <w:color w:val="163A70"/>
                <w:sz w:val="18"/>
              </w:rPr>
              <w:t>Learning Core</w:t>
            </w:r>
          </w:p>
        </w:tc>
        <w:tc>
          <w:tcPr>
            <w:tcW w:type="dxa" w:w="2952"/>
            <w:vAlign w:val="center"/>
            <w:tcMar>
              <w:top w:w="90" w:type="dxa"/>
              <w:start w:w="85" w:type="dxa"/>
              <w:bottom w:w="90" w:type="dxa"/>
              <w:end w:w="85" w:type="dxa"/>
            </w:tcMar>
          </w:tcPr>
          <w:p>
            <w:pPr>
              <w:spacing w:before="0" w:after="0" w:line="264" w:lineRule="auto"/>
              <w:jc w:val="left"/>
            </w:pPr>
            <w:r>
              <w:rPr>
                <w:color w:val="223246"/>
                <w:sz w:val="18"/>
              </w:rPr>
              <w:t>Courses, modules, lessons, quizzes, paths, certificates</w:t>
            </w:r>
          </w:p>
        </w:tc>
        <w:tc>
          <w:tcPr>
            <w:tcW w:type="dxa" w:w="1944"/>
            <w:vAlign w:val="center"/>
            <w:tcMar>
              <w:top w:w="90" w:type="dxa"/>
              <w:start w:w="85" w:type="dxa"/>
              <w:bottom w:w="90" w:type="dxa"/>
              <w:end w:w="85" w:type="dxa"/>
            </w:tcMar>
          </w:tcPr>
          <w:p>
            <w:pPr>
              <w:spacing w:before="0" w:after="0" w:line="264" w:lineRule="auto"/>
              <w:jc w:val="center"/>
            </w:pPr>
            <w:r>
              <w:rPr>
                <w:color w:val="223246"/>
                <w:sz w:val="18"/>
              </w:rPr>
              <w:t>Learners and admins</w:t>
            </w:r>
          </w:p>
        </w:tc>
        <w:tc>
          <w:tcPr>
            <w:tcW w:type="dxa" w:w="2016"/>
            <w:vAlign w:val="center"/>
            <w:tcMar>
              <w:top w:w="90" w:type="dxa"/>
              <w:start w:w="85" w:type="dxa"/>
              <w:bottom w:w="90" w:type="dxa"/>
              <w:end w:w="85" w:type="dxa"/>
            </w:tcMar>
          </w:tcPr>
          <w:p>
            <w:pPr>
              <w:spacing w:before="0" w:after="0" w:line="264" w:lineRule="auto"/>
              <w:jc w:val="center"/>
            </w:pPr>
            <w:r>
              <w:rPr>
                <w:color w:val="223246"/>
                <w:sz w:val="18"/>
              </w:rPr>
              <w:t>Bubble</w:t>
            </w:r>
          </w:p>
        </w:tc>
        <w:tc>
          <w:tcPr>
            <w:tcW w:type="dxa" w:w="2736"/>
            <w:vAlign w:val="center"/>
            <w:tcMar>
              <w:top w:w="90" w:type="dxa"/>
              <w:start w:w="85" w:type="dxa"/>
              <w:bottom w:w="90" w:type="dxa"/>
              <w:end w:w="85" w:type="dxa"/>
            </w:tcMar>
          </w:tcPr>
          <w:p>
            <w:pPr>
              <w:spacing w:before="0" w:after="0" w:line="264" w:lineRule="auto"/>
              <w:jc w:val="left"/>
            </w:pPr>
            <w:r>
              <w:rPr>
                <w:color w:val="223246"/>
                <w:sz w:val="18"/>
              </w:rPr>
              <w:t>Holds the operational LMS engine</w:t>
            </w:r>
          </w:p>
        </w:tc>
      </w:tr>
      <w:tr>
        <w:tc>
          <w:tcPr>
            <w:tcW w:type="dxa" w:w="1728"/>
            <w:vAlign w:val="center"/>
            <w:tcMar>
              <w:top w:w="90" w:type="dxa"/>
              <w:start w:w="85" w:type="dxa"/>
              <w:bottom w:w="90" w:type="dxa"/>
              <w:end w:w="85" w:type="dxa"/>
            </w:tcMar>
            <w:shd w:fill="F7FAFE"/>
          </w:tcPr>
          <w:p>
            <w:pPr>
              <w:spacing w:before="0" w:after="0" w:line="264" w:lineRule="auto"/>
              <w:jc w:val="center"/>
            </w:pPr>
            <w:r>
              <w:rPr>
                <w:b/>
                <w:color w:val="163A70"/>
                <w:sz w:val="18"/>
              </w:rPr>
              <w:t>Intelligence Layer</w:t>
            </w:r>
          </w:p>
        </w:tc>
        <w:tc>
          <w:tcPr>
            <w:tcW w:type="dxa" w:w="2952"/>
            <w:vAlign w:val="center"/>
            <w:tcMar>
              <w:top w:w="90" w:type="dxa"/>
              <w:start w:w="85" w:type="dxa"/>
              <w:bottom w:w="90" w:type="dxa"/>
              <w:end w:w="85" w:type="dxa"/>
            </w:tcMar>
          </w:tcPr>
          <w:p>
            <w:pPr>
              <w:spacing w:before="0" w:after="0" w:line="264" w:lineRule="auto"/>
              <w:jc w:val="left"/>
            </w:pPr>
            <w:r>
              <w:rPr>
                <w:color w:val="223246"/>
                <w:sz w:val="18"/>
              </w:rPr>
              <w:t>Guided AI responses, summaries, quiz generation, role-based recommendations</w:t>
            </w:r>
          </w:p>
        </w:tc>
        <w:tc>
          <w:tcPr>
            <w:tcW w:type="dxa" w:w="1944"/>
            <w:vAlign w:val="center"/>
            <w:tcMar>
              <w:top w:w="90" w:type="dxa"/>
              <w:start w:w="85" w:type="dxa"/>
              <w:bottom w:w="90" w:type="dxa"/>
              <w:end w:w="85" w:type="dxa"/>
            </w:tcMar>
          </w:tcPr>
          <w:p>
            <w:pPr>
              <w:spacing w:before="0" w:after="0" w:line="264" w:lineRule="auto"/>
              <w:jc w:val="center"/>
            </w:pPr>
            <w:r>
              <w:rPr>
                <w:color w:val="223246"/>
                <w:sz w:val="18"/>
              </w:rPr>
              <w:t>Learners, managers, consultants, sales team</w:t>
            </w:r>
          </w:p>
        </w:tc>
        <w:tc>
          <w:tcPr>
            <w:tcW w:type="dxa" w:w="2016"/>
            <w:vAlign w:val="center"/>
            <w:tcMar>
              <w:top w:w="90" w:type="dxa"/>
              <w:start w:w="85" w:type="dxa"/>
              <w:bottom w:w="90" w:type="dxa"/>
              <w:end w:w="85" w:type="dxa"/>
            </w:tcMar>
          </w:tcPr>
          <w:p>
            <w:pPr>
              <w:spacing w:before="0" w:after="0" w:line="264" w:lineRule="auto"/>
              <w:jc w:val="center"/>
            </w:pPr>
            <w:r>
              <w:rPr>
                <w:color w:val="223246"/>
                <w:sz w:val="18"/>
              </w:rPr>
              <w:t>External AI via API</w:t>
            </w:r>
          </w:p>
        </w:tc>
        <w:tc>
          <w:tcPr>
            <w:tcW w:type="dxa" w:w="2736"/>
            <w:vAlign w:val="center"/>
            <w:tcMar>
              <w:top w:w="90" w:type="dxa"/>
              <w:start w:w="85" w:type="dxa"/>
              <w:bottom w:w="90" w:type="dxa"/>
              <w:end w:w="85" w:type="dxa"/>
            </w:tcMar>
          </w:tcPr>
          <w:p>
            <w:pPr>
              <w:spacing w:before="0" w:after="0" w:line="264" w:lineRule="auto"/>
              <w:jc w:val="left"/>
            </w:pPr>
            <w:r>
              <w:rPr>
                <w:color w:val="223246"/>
                <w:sz w:val="18"/>
              </w:rPr>
              <w:t>Creates differentiation and efficiency</w:t>
            </w:r>
          </w:p>
        </w:tc>
      </w:tr>
      <w:tr>
        <w:tc>
          <w:tcPr>
            <w:tcW w:type="dxa" w:w="1728"/>
            <w:vAlign w:val="center"/>
            <w:tcMar>
              <w:top w:w="90" w:type="dxa"/>
              <w:start w:w="85" w:type="dxa"/>
              <w:bottom w:w="90" w:type="dxa"/>
              <w:end w:w="85" w:type="dxa"/>
            </w:tcMar>
            <w:shd w:fill="F7FAFE"/>
          </w:tcPr>
          <w:p>
            <w:pPr>
              <w:spacing w:before="0" w:after="0" w:line="264" w:lineRule="auto"/>
              <w:jc w:val="center"/>
            </w:pPr>
            <w:r>
              <w:rPr>
                <w:b/>
                <w:color w:val="163A70"/>
                <w:sz w:val="18"/>
              </w:rPr>
              <w:t>Media Layer</w:t>
            </w:r>
          </w:p>
        </w:tc>
        <w:tc>
          <w:tcPr>
            <w:tcW w:type="dxa" w:w="2952"/>
            <w:vAlign w:val="center"/>
            <w:tcMar>
              <w:top w:w="90" w:type="dxa"/>
              <w:start w:w="85" w:type="dxa"/>
              <w:bottom w:w="90" w:type="dxa"/>
              <w:end w:w="85" w:type="dxa"/>
            </w:tcMar>
          </w:tcPr>
          <w:p>
            <w:pPr>
              <w:spacing w:before="0" w:after="0" w:line="264" w:lineRule="auto"/>
              <w:jc w:val="left"/>
            </w:pPr>
            <w:r>
              <w:rPr>
                <w:color w:val="223246"/>
                <w:sz w:val="18"/>
              </w:rPr>
              <w:t>Video upload, transcoding, secure playback</w:t>
            </w:r>
          </w:p>
        </w:tc>
        <w:tc>
          <w:tcPr>
            <w:tcW w:type="dxa" w:w="1944"/>
            <w:vAlign w:val="center"/>
            <w:tcMar>
              <w:top w:w="90" w:type="dxa"/>
              <w:start w:w="85" w:type="dxa"/>
              <w:bottom w:w="90" w:type="dxa"/>
              <w:end w:w="85" w:type="dxa"/>
            </w:tcMar>
          </w:tcPr>
          <w:p>
            <w:pPr>
              <w:spacing w:before="0" w:after="0" w:line="264" w:lineRule="auto"/>
              <w:jc w:val="center"/>
            </w:pPr>
            <w:r>
              <w:rPr>
                <w:color w:val="223246"/>
                <w:sz w:val="18"/>
              </w:rPr>
              <w:t>Content admins, learners</w:t>
            </w:r>
          </w:p>
        </w:tc>
        <w:tc>
          <w:tcPr>
            <w:tcW w:type="dxa" w:w="2016"/>
            <w:vAlign w:val="center"/>
            <w:tcMar>
              <w:top w:w="90" w:type="dxa"/>
              <w:start w:w="85" w:type="dxa"/>
              <w:bottom w:w="90" w:type="dxa"/>
              <w:end w:w="85" w:type="dxa"/>
            </w:tcMar>
          </w:tcPr>
          <w:p>
            <w:pPr>
              <w:spacing w:before="0" w:after="0" w:line="264" w:lineRule="auto"/>
              <w:jc w:val="center"/>
            </w:pPr>
            <w:r>
              <w:rPr>
                <w:color w:val="223246"/>
                <w:sz w:val="18"/>
              </w:rPr>
              <w:t>Vimeo or similar</w:t>
            </w:r>
          </w:p>
        </w:tc>
        <w:tc>
          <w:tcPr>
            <w:tcW w:type="dxa" w:w="2736"/>
            <w:vAlign w:val="center"/>
            <w:tcMar>
              <w:top w:w="90" w:type="dxa"/>
              <w:start w:w="85" w:type="dxa"/>
              <w:bottom w:w="90" w:type="dxa"/>
              <w:end w:w="85" w:type="dxa"/>
            </w:tcMar>
          </w:tcPr>
          <w:p>
            <w:pPr>
              <w:spacing w:before="0" w:after="0" w:line="264" w:lineRule="auto"/>
              <w:jc w:val="left"/>
            </w:pPr>
            <w:r>
              <w:rPr>
                <w:color w:val="223246"/>
                <w:sz w:val="18"/>
              </w:rPr>
              <w:t>Prevents Bubble from becoming a media infrastructure layer</w:t>
            </w:r>
          </w:p>
        </w:tc>
      </w:tr>
      <w:tr>
        <w:tc>
          <w:tcPr>
            <w:tcW w:type="dxa" w:w="1728"/>
            <w:vAlign w:val="center"/>
            <w:tcMar>
              <w:top w:w="90" w:type="dxa"/>
              <w:start w:w="85" w:type="dxa"/>
              <w:bottom w:w="90" w:type="dxa"/>
              <w:end w:w="85" w:type="dxa"/>
            </w:tcMar>
            <w:shd w:fill="F7FAFE"/>
          </w:tcPr>
          <w:p>
            <w:pPr>
              <w:spacing w:before="0" w:after="0" w:line="264" w:lineRule="auto"/>
              <w:jc w:val="center"/>
            </w:pPr>
            <w:r>
              <w:rPr>
                <w:b/>
                <w:color w:val="163A70"/>
                <w:sz w:val="18"/>
              </w:rPr>
              <w:t>Commerce Layer</w:t>
            </w:r>
          </w:p>
        </w:tc>
        <w:tc>
          <w:tcPr>
            <w:tcW w:type="dxa" w:w="2952"/>
            <w:vAlign w:val="center"/>
            <w:tcMar>
              <w:top w:w="90" w:type="dxa"/>
              <w:start w:w="85" w:type="dxa"/>
              <w:bottom w:w="90" w:type="dxa"/>
              <w:end w:w="85" w:type="dxa"/>
            </w:tcMar>
          </w:tcPr>
          <w:p>
            <w:pPr>
              <w:spacing w:before="0" w:after="0" w:line="264" w:lineRule="auto"/>
              <w:jc w:val="left"/>
            </w:pPr>
            <w:r>
              <w:rPr>
                <w:color w:val="223246"/>
                <w:sz w:val="18"/>
              </w:rPr>
              <w:t>Payments, subscriptions, renewals, payment links</w:t>
            </w:r>
          </w:p>
        </w:tc>
        <w:tc>
          <w:tcPr>
            <w:tcW w:type="dxa" w:w="1944"/>
            <w:vAlign w:val="center"/>
            <w:tcMar>
              <w:top w:w="90" w:type="dxa"/>
              <w:start w:w="85" w:type="dxa"/>
              <w:bottom w:w="90" w:type="dxa"/>
              <w:end w:w="85" w:type="dxa"/>
            </w:tcMar>
          </w:tcPr>
          <w:p>
            <w:pPr>
              <w:spacing w:before="0" w:after="0" w:line="264" w:lineRule="auto"/>
              <w:jc w:val="center"/>
            </w:pPr>
            <w:r>
              <w:rPr>
                <w:color w:val="223246"/>
                <w:sz w:val="18"/>
              </w:rPr>
              <w:t>Buyers, finance, ops</w:t>
            </w:r>
          </w:p>
        </w:tc>
        <w:tc>
          <w:tcPr>
            <w:tcW w:type="dxa" w:w="2016"/>
            <w:vAlign w:val="center"/>
            <w:tcMar>
              <w:top w:w="90" w:type="dxa"/>
              <w:start w:w="85" w:type="dxa"/>
              <w:bottom w:w="90" w:type="dxa"/>
              <w:end w:w="85" w:type="dxa"/>
            </w:tcMar>
          </w:tcPr>
          <w:p>
            <w:pPr>
              <w:spacing w:before="0" w:after="0" w:line="264" w:lineRule="auto"/>
              <w:jc w:val="center"/>
            </w:pPr>
            <w:r>
              <w:rPr>
                <w:color w:val="223246"/>
                <w:sz w:val="18"/>
              </w:rPr>
              <w:t>Razorpay</w:t>
            </w:r>
          </w:p>
        </w:tc>
        <w:tc>
          <w:tcPr>
            <w:tcW w:type="dxa" w:w="2736"/>
            <w:vAlign w:val="center"/>
            <w:tcMar>
              <w:top w:w="90" w:type="dxa"/>
              <w:start w:w="85" w:type="dxa"/>
              <w:bottom w:w="90" w:type="dxa"/>
              <w:end w:w="85" w:type="dxa"/>
            </w:tcMar>
          </w:tcPr>
          <w:p>
            <w:pPr>
              <w:spacing w:before="0" w:after="0" w:line="264" w:lineRule="auto"/>
              <w:jc w:val="left"/>
            </w:pPr>
            <w:r>
              <w:rPr>
                <w:color w:val="223246"/>
                <w:sz w:val="18"/>
              </w:rPr>
              <w:t>Enables India-first monetization</w:t>
            </w:r>
          </w:p>
        </w:tc>
      </w:tr>
      <w:tr>
        <w:tc>
          <w:tcPr>
            <w:tcW w:type="dxa" w:w="1728"/>
            <w:vAlign w:val="center"/>
            <w:tcMar>
              <w:top w:w="90" w:type="dxa"/>
              <w:start w:w="85" w:type="dxa"/>
              <w:bottom w:w="90" w:type="dxa"/>
              <w:end w:w="85" w:type="dxa"/>
            </w:tcMar>
            <w:shd w:fill="F7FAFE"/>
          </w:tcPr>
          <w:p>
            <w:pPr>
              <w:spacing w:before="0" w:after="0" w:line="264" w:lineRule="auto"/>
              <w:jc w:val="center"/>
            </w:pPr>
            <w:r>
              <w:rPr>
                <w:b/>
                <w:color w:val="163A70"/>
                <w:sz w:val="18"/>
              </w:rPr>
              <w:t>Automation Layer</w:t>
            </w:r>
          </w:p>
        </w:tc>
        <w:tc>
          <w:tcPr>
            <w:tcW w:type="dxa" w:w="2952"/>
            <w:vAlign w:val="center"/>
            <w:tcMar>
              <w:top w:w="90" w:type="dxa"/>
              <w:start w:w="85" w:type="dxa"/>
              <w:bottom w:w="90" w:type="dxa"/>
              <w:end w:w="85" w:type="dxa"/>
            </w:tcMar>
          </w:tcPr>
          <w:p>
            <w:pPr>
              <w:spacing w:before="0" w:after="0" w:line="264" w:lineRule="auto"/>
              <w:jc w:val="left"/>
            </w:pPr>
            <w:r>
              <w:rPr>
                <w:color w:val="223246"/>
                <w:sz w:val="18"/>
              </w:rPr>
              <w:t>Access activation, reminders, sync, certificate dispatch</w:t>
            </w:r>
          </w:p>
        </w:tc>
        <w:tc>
          <w:tcPr>
            <w:tcW w:type="dxa" w:w="1944"/>
            <w:vAlign w:val="center"/>
            <w:tcMar>
              <w:top w:w="90" w:type="dxa"/>
              <w:start w:w="85" w:type="dxa"/>
              <w:bottom w:w="90" w:type="dxa"/>
              <w:end w:w="85" w:type="dxa"/>
            </w:tcMar>
          </w:tcPr>
          <w:p>
            <w:pPr>
              <w:spacing w:before="0" w:after="0" w:line="264" w:lineRule="auto"/>
              <w:jc w:val="center"/>
            </w:pPr>
            <w:r>
              <w:rPr>
                <w:color w:val="223246"/>
                <w:sz w:val="18"/>
              </w:rPr>
              <w:t>Admins, ops</w:t>
            </w:r>
          </w:p>
        </w:tc>
        <w:tc>
          <w:tcPr>
            <w:tcW w:type="dxa" w:w="2016"/>
            <w:vAlign w:val="center"/>
            <w:tcMar>
              <w:top w:w="90" w:type="dxa"/>
              <w:start w:w="85" w:type="dxa"/>
              <w:bottom w:w="90" w:type="dxa"/>
              <w:end w:w="85" w:type="dxa"/>
            </w:tcMar>
          </w:tcPr>
          <w:p>
            <w:pPr>
              <w:spacing w:before="0" w:after="0" w:line="264" w:lineRule="auto"/>
              <w:jc w:val="center"/>
            </w:pPr>
            <w:r>
              <w:rPr>
                <w:color w:val="223246"/>
                <w:sz w:val="18"/>
              </w:rPr>
              <w:t>Make</w:t>
            </w:r>
          </w:p>
        </w:tc>
        <w:tc>
          <w:tcPr>
            <w:tcW w:type="dxa" w:w="2736"/>
            <w:vAlign w:val="center"/>
            <w:tcMar>
              <w:top w:w="90" w:type="dxa"/>
              <w:start w:w="85" w:type="dxa"/>
              <w:bottom w:w="90" w:type="dxa"/>
              <w:end w:w="85" w:type="dxa"/>
            </w:tcMar>
          </w:tcPr>
          <w:p>
            <w:pPr>
              <w:spacing w:before="0" w:after="0" w:line="264" w:lineRule="auto"/>
              <w:jc w:val="left"/>
            </w:pPr>
            <w:r>
              <w:rPr>
                <w:color w:val="223246"/>
                <w:sz w:val="18"/>
              </w:rPr>
              <w:t>Reduces manual coordination work</w:t>
            </w:r>
          </w:p>
        </w:tc>
      </w:tr>
      <w:tr>
        <w:tc>
          <w:tcPr>
            <w:tcW w:type="dxa" w:w="1728"/>
            <w:vAlign w:val="center"/>
            <w:tcMar>
              <w:top w:w="90" w:type="dxa"/>
              <w:start w:w="85" w:type="dxa"/>
              <w:bottom w:w="90" w:type="dxa"/>
              <w:end w:w="85" w:type="dxa"/>
            </w:tcMar>
            <w:shd w:fill="F7FAFE"/>
          </w:tcPr>
          <w:p>
            <w:pPr>
              <w:spacing w:before="0" w:after="0" w:line="264" w:lineRule="auto"/>
              <w:jc w:val="center"/>
            </w:pPr>
            <w:r>
              <w:rPr>
                <w:b/>
                <w:color w:val="163A70"/>
                <w:sz w:val="18"/>
              </w:rPr>
              <w:t>File Layer</w:t>
            </w:r>
          </w:p>
        </w:tc>
        <w:tc>
          <w:tcPr>
            <w:tcW w:type="dxa" w:w="2952"/>
            <w:vAlign w:val="center"/>
            <w:tcMar>
              <w:top w:w="90" w:type="dxa"/>
              <w:start w:w="85" w:type="dxa"/>
              <w:bottom w:w="90" w:type="dxa"/>
              <w:end w:w="85" w:type="dxa"/>
            </w:tcMar>
          </w:tcPr>
          <w:p>
            <w:pPr>
              <w:spacing w:before="0" w:after="0" w:line="264" w:lineRule="auto"/>
              <w:jc w:val="left"/>
            </w:pPr>
            <w:r>
              <w:rPr>
                <w:color w:val="223246"/>
                <w:sz w:val="18"/>
              </w:rPr>
              <w:t>PDFs, templates, assessment uploads, downloadable assets</w:t>
            </w:r>
          </w:p>
        </w:tc>
        <w:tc>
          <w:tcPr>
            <w:tcW w:type="dxa" w:w="1944"/>
            <w:vAlign w:val="center"/>
            <w:tcMar>
              <w:top w:w="90" w:type="dxa"/>
              <w:start w:w="85" w:type="dxa"/>
              <w:bottom w:w="90" w:type="dxa"/>
              <w:end w:w="85" w:type="dxa"/>
            </w:tcMar>
          </w:tcPr>
          <w:p>
            <w:pPr>
              <w:spacing w:before="0" w:after="0" w:line="264" w:lineRule="auto"/>
              <w:jc w:val="center"/>
            </w:pPr>
            <w:r>
              <w:rPr>
                <w:color w:val="223246"/>
                <w:sz w:val="18"/>
              </w:rPr>
              <w:t>Learners and admins</w:t>
            </w:r>
          </w:p>
        </w:tc>
        <w:tc>
          <w:tcPr>
            <w:tcW w:type="dxa" w:w="2016"/>
            <w:vAlign w:val="center"/>
            <w:tcMar>
              <w:top w:w="90" w:type="dxa"/>
              <w:start w:w="85" w:type="dxa"/>
              <w:bottom w:w="90" w:type="dxa"/>
              <w:end w:w="85" w:type="dxa"/>
            </w:tcMar>
          </w:tcPr>
          <w:p>
            <w:pPr>
              <w:spacing w:before="0" w:after="0" w:line="264" w:lineRule="auto"/>
              <w:jc w:val="center"/>
            </w:pPr>
            <w:r>
              <w:rPr>
                <w:color w:val="223246"/>
                <w:sz w:val="18"/>
              </w:rPr>
              <w:t>Uploadcare or S3-style</w:t>
            </w:r>
          </w:p>
        </w:tc>
        <w:tc>
          <w:tcPr>
            <w:tcW w:type="dxa" w:w="2736"/>
            <w:vAlign w:val="center"/>
            <w:tcMar>
              <w:top w:w="90" w:type="dxa"/>
              <w:start w:w="85" w:type="dxa"/>
              <w:bottom w:w="90" w:type="dxa"/>
              <w:end w:w="85" w:type="dxa"/>
            </w:tcMar>
          </w:tcPr>
          <w:p>
            <w:pPr>
              <w:spacing w:before="0" w:after="0" w:line="264" w:lineRule="auto"/>
              <w:jc w:val="left"/>
            </w:pPr>
            <w:r>
              <w:rPr>
                <w:color w:val="223246"/>
                <w:sz w:val="18"/>
              </w:rPr>
              <w:t>Supports reliable file handling at scale</w:t>
            </w:r>
          </w:p>
        </w:tc>
      </w:tr>
      <w:tr>
        <w:tc>
          <w:tcPr>
            <w:tcW w:type="dxa" w:w="1728"/>
            <w:vAlign w:val="center"/>
            <w:tcMar>
              <w:top w:w="90" w:type="dxa"/>
              <w:start w:w="85" w:type="dxa"/>
              <w:bottom w:w="90" w:type="dxa"/>
              <w:end w:w="85" w:type="dxa"/>
            </w:tcMar>
            <w:shd w:fill="F7FAFE"/>
          </w:tcPr>
          <w:p>
            <w:pPr>
              <w:spacing w:before="0" w:after="0" w:line="264" w:lineRule="auto"/>
              <w:jc w:val="center"/>
            </w:pPr>
            <w:r>
              <w:rPr>
                <w:b/>
                <w:color w:val="163A70"/>
                <w:sz w:val="18"/>
              </w:rPr>
              <w:t>Insight Layer</w:t>
            </w:r>
          </w:p>
        </w:tc>
        <w:tc>
          <w:tcPr>
            <w:tcW w:type="dxa" w:w="2952"/>
            <w:vAlign w:val="center"/>
            <w:tcMar>
              <w:top w:w="90" w:type="dxa"/>
              <w:start w:w="85" w:type="dxa"/>
              <w:bottom w:w="90" w:type="dxa"/>
              <w:end w:w="85" w:type="dxa"/>
            </w:tcMar>
          </w:tcPr>
          <w:p>
            <w:pPr>
              <w:spacing w:before="0" w:after="0" w:line="264" w:lineRule="auto"/>
              <w:jc w:val="left"/>
            </w:pPr>
            <w:r>
              <w:rPr>
                <w:color w:val="223246"/>
                <w:sz w:val="18"/>
              </w:rPr>
              <w:t>Completion reports, heat maps, cohort analytics, culture journey signals</w:t>
            </w:r>
          </w:p>
        </w:tc>
        <w:tc>
          <w:tcPr>
            <w:tcW w:type="dxa" w:w="1944"/>
            <w:vAlign w:val="center"/>
            <w:tcMar>
              <w:top w:w="90" w:type="dxa"/>
              <w:start w:w="85" w:type="dxa"/>
              <w:bottom w:w="90" w:type="dxa"/>
              <w:end w:w="85" w:type="dxa"/>
            </w:tcMar>
          </w:tcPr>
          <w:p>
            <w:pPr>
              <w:spacing w:before="0" w:after="0" w:line="264" w:lineRule="auto"/>
              <w:jc w:val="center"/>
            </w:pPr>
            <w:r>
              <w:rPr>
                <w:color w:val="223246"/>
                <w:sz w:val="18"/>
              </w:rPr>
              <w:t>Client admins, consultants</w:t>
            </w:r>
          </w:p>
        </w:tc>
        <w:tc>
          <w:tcPr>
            <w:tcW w:type="dxa" w:w="2016"/>
            <w:vAlign w:val="center"/>
            <w:tcMar>
              <w:top w:w="90" w:type="dxa"/>
              <w:start w:w="85" w:type="dxa"/>
              <w:bottom w:w="90" w:type="dxa"/>
              <w:end w:w="85" w:type="dxa"/>
            </w:tcMar>
          </w:tcPr>
          <w:p>
            <w:pPr>
              <w:spacing w:before="0" w:after="0" w:line="264" w:lineRule="auto"/>
              <w:jc w:val="center"/>
            </w:pPr>
            <w:r>
              <w:rPr>
                <w:color w:val="223246"/>
                <w:sz w:val="18"/>
              </w:rPr>
              <w:t>Bubble + optional external processing</w:t>
            </w:r>
          </w:p>
        </w:tc>
        <w:tc>
          <w:tcPr>
            <w:tcW w:type="dxa" w:w="2736"/>
            <w:vAlign w:val="center"/>
            <w:tcMar>
              <w:top w:w="90" w:type="dxa"/>
              <w:start w:w="85" w:type="dxa"/>
              <w:bottom w:w="90" w:type="dxa"/>
              <w:end w:w="85" w:type="dxa"/>
            </w:tcMar>
          </w:tcPr>
          <w:p>
            <w:pPr>
              <w:spacing w:before="0" w:after="0" w:line="264" w:lineRule="auto"/>
              <w:jc w:val="left"/>
            </w:pPr>
            <w:r>
              <w:rPr>
                <w:color w:val="223246"/>
                <w:sz w:val="18"/>
              </w:rPr>
              <w:t>Turns the LMS into a consulting asset</w:t>
            </w:r>
          </w:p>
        </w:tc>
      </w:tr>
      <w:tr>
        <w:tc>
          <w:tcPr>
            <w:tcW w:type="dxa" w:w="1728"/>
            <w:vAlign w:val="center"/>
            <w:tcMar>
              <w:top w:w="90" w:type="dxa"/>
              <w:start w:w="85" w:type="dxa"/>
              <w:bottom w:w="90" w:type="dxa"/>
              <w:end w:w="85" w:type="dxa"/>
            </w:tcMar>
            <w:shd w:fill="F7FAFE"/>
          </w:tcPr>
          <w:p>
            <w:pPr>
              <w:spacing w:before="0" w:after="0" w:line="264" w:lineRule="auto"/>
              <w:jc w:val="center"/>
            </w:pPr>
            <w:r>
              <w:rPr>
                <w:b/>
                <w:color w:val="163A70"/>
                <w:sz w:val="18"/>
              </w:rPr>
              <w:t>Assessment Integration Layer</w:t>
            </w:r>
          </w:p>
        </w:tc>
        <w:tc>
          <w:tcPr>
            <w:tcW w:type="dxa" w:w="2952"/>
            <w:vAlign w:val="center"/>
            <w:tcMar>
              <w:top w:w="90" w:type="dxa"/>
              <w:start w:w="85" w:type="dxa"/>
              <w:bottom w:w="90" w:type="dxa"/>
              <w:end w:w="85" w:type="dxa"/>
            </w:tcMar>
          </w:tcPr>
          <w:p>
            <w:pPr>
              <w:spacing w:before="0" w:after="0" w:line="264" w:lineRule="auto"/>
              <w:jc w:val="left"/>
            </w:pPr>
            <w:r>
              <w:rPr>
                <w:color w:val="223246"/>
                <w:sz w:val="18"/>
              </w:rPr>
              <w:t>Consumes diagnostic outputs and converts them into actions</w:t>
            </w:r>
          </w:p>
        </w:tc>
        <w:tc>
          <w:tcPr>
            <w:tcW w:type="dxa" w:w="1944"/>
            <w:vAlign w:val="center"/>
            <w:tcMar>
              <w:top w:w="90" w:type="dxa"/>
              <w:start w:w="85" w:type="dxa"/>
              <w:bottom w:w="90" w:type="dxa"/>
              <w:end w:w="85" w:type="dxa"/>
            </w:tcMar>
          </w:tcPr>
          <w:p>
            <w:pPr>
              <w:spacing w:before="0" w:after="0" w:line="264" w:lineRule="auto"/>
              <w:jc w:val="center"/>
            </w:pPr>
            <w:r>
              <w:rPr>
                <w:color w:val="223246"/>
                <w:sz w:val="18"/>
              </w:rPr>
              <w:t>Client admins, consultants</w:t>
            </w:r>
          </w:p>
        </w:tc>
        <w:tc>
          <w:tcPr>
            <w:tcW w:type="dxa" w:w="2016"/>
            <w:vAlign w:val="center"/>
            <w:tcMar>
              <w:top w:w="90" w:type="dxa"/>
              <w:start w:w="85" w:type="dxa"/>
              <w:bottom w:w="90" w:type="dxa"/>
              <w:end w:w="85" w:type="dxa"/>
            </w:tcMar>
          </w:tcPr>
          <w:p>
            <w:pPr>
              <w:spacing w:before="0" w:after="0" w:line="264" w:lineRule="auto"/>
              <w:jc w:val="center"/>
            </w:pPr>
            <w:r>
              <w:rPr>
                <w:color w:val="223246"/>
                <w:sz w:val="18"/>
              </w:rPr>
              <w:t>Integrated, but separate from full assessment engine</w:t>
            </w:r>
          </w:p>
        </w:tc>
        <w:tc>
          <w:tcPr>
            <w:tcW w:type="dxa" w:w="2736"/>
            <w:vAlign w:val="center"/>
            <w:tcMar>
              <w:top w:w="90" w:type="dxa"/>
              <w:start w:w="85" w:type="dxa"/>
              <w:bottom w:w="90" w:type="dxa"/>
              <w:end w:w="85" w:type="dxa"/>
            </w:tcMar>
          </w:tcPr>
          <w:p>
            <w:pPr>
              <w:spacing w:before="0" w:after="0" w:line="264" w:lineRule="auto"/>
              <w:jc w:val="left"/>
            </w:pPr>
            <w:r>
              <w:rPr>
                <w:color w:val="223246"/>
                <w:sz w:val="18"/>
              </w:rPr>
              <w:t>Keeps product boundaries clean</w:t>
            </w:r>
          </w:p>
        </w:tc>
      </w:tr>
    </w:tbl>
    <w:p>
      <w:pPr>
        <w:pStyle w:val="Heading1"/>
        <w:spacing w:before="240" w:after="80" w:line="276" w:lineRule="auto"/>
      </w:pPr>
      <w:r>
        <w:t>2. What Edge LMS is</w:t>
      </w:r>
    </w:p>
    <w:p>
      <w:pPr>
        <w:spacing w:before="0" w:after="140" w:line="283" w:lineRule="auto"/>
      </w:pPr>
      <w:r>
        <w:rPr>
          <w:color w:val="25364D"/>
          <w:sz w:val="21"/>
        </w:rPr>
        <w:t>Edge LMS is a multi-tenant, AI-enabled learning and insight platform designed to serve three parallel use cases. The first is the Strengthscape Internal Academy for onboarding, sales enablement, facilitator readiness, policy learning, culture learning, and internal capability building. The second is the Client Learning Portal for customer delivery, self-paced and blended journeys, certificates, progress reporting, and cohort management. The third is the Insight-led Consulting Layer, where the platform becomes a data and action system for leadership development, culture journeys, role-based recommendations, ritual design, and follow-through planning.</w:t>
      </w:r>
    </w:p>
    <w:p>
      <w:pPr>
        <w:pStyle w:val="Heading1"/>
        <w:spacing w:before="240" w:after="80" w:line="276" w:lineRule="auto"/>
      </w:pPr>
      <w:r>
        <w:t>3. What Edge LMS is not</w:t>
      </w:r>
    </w:p>
    <w:p>
      <w:pPr>
        <w:spacing w:before="0" w:after="140" w:line="283" w:lineRule="auto"/>
      </w:pPr>
      <w:r>
        <w:rPr>
          <w:color w:val="25364D"/>
          <w:sz w:val="21"/>
        </w:rPr>
        <w:t>Edge LMS is not a raw video library, a generic file repository, a blank open-ended chatbot, a full psychometric assessment engine, or a custom media streaming stack. It should not be treated as a legacy SCORM-first clone or as an overloaded community platform. The product should remain a clean, premium, highly usable training operating system with strong analytics and guided intelligence beneath the surface.</w:t>
      </w:r>
    </w:p>
    <w:p>
      <w:pPr>
        <w:pStyle w:val="Heading1"/>
        <w:spacing w:before="240" w:after="80" w:line="276" w:lineRule="auto"/>
      </w:pPr>
      <w:r>
        <w:t>4. Design philosophy for 2030</w:t>
      </w:r>
    </w:p>
    <w:p>
      <w:pPr>
        <w:spacing w:before="0" w:after="140" w:line="283" w:lineRule="auto"/>
      </w:pPr>
      <w:r>
        <w:rPr>
          <w:color w:val="25364D"/>
          <w:sz w:val="21"/>
        </w:rPr>
        <w:t>The product should be designed for Strengthscape in 2030, not merely to satisfy a present-day checklist. Learner-facing surfaces must stay simple, while administrative and consulting layers must become progressively richer. AI should be structured rather than chaotic. Bubble should function as the application shell and orchestration layer, while specialized external services should handle video, commerce, automation, and heavy intelligence tasks. Every major feature must reduce manual service effort over time.</w:t>
      </w:r>
    </w:p>
    <w:p>
      <w:pPr>
        <w:pStyle w:val="Heading1"/>
        <w:spacing w:before="240" w:after="100" w:line="276" w:lineRule="auto"/>
      </w:pPr>
      <w:r>
        <w:t>5. Product doctrines</w:t>
      </w:r>
    </w:p>
    <w:tbl>
      <w:tblPr>
        <w:tblW w:type="auto" w:w="0"/>
        <w:jc w:val="center"/>
        <w:tblLayout w:type="fixed"/>
        <w:tblLook w:firstColumn="1" w:firstRow="1" w:lastColumn="0" w:lastRow="0" w:noHBand="0" w:noVBand="1" w:val="04A0"/>
        <w:tblBorders>
          <w:top w:val="single" w:sz="6" w:space="0" w:color="C9D3E6"/>
          <w:left w:val="single" w:sz="6" w:space="0" w:color="C9D3E6"/>
          <w:bottom w:val="single" w:sz="6" w:space="0" w:color="C9D3E6"/>
          <w:right w:val="single" w:sz="6" w:space="0" w:color="C9D3E6"/>
          <w:insideH w:val="single" w:sz="6" w:space="0" w:color="C9D3E6"/>
          <w:insideV w:val="single" w:sz="6" w:space="0" w:color="C9D3E6"/>
        </w:tblBorders>
      </w:tblPr>
      <w:tblGrid>
        <w:gridCol w:w="3213"/>
        <w:gridCol w:w="3213"/>
        <w:gridCol w:w="3213"/>
      </w:tblGrid>
      <w:tr>
        <w:tc>
          <w:tcPr>
            <w:tcW w:type="dxa" w:w="1656"/>
            <w:shd w:fill="234A84"/>
            <w:tcMar>
              <w:top w:w="95" w:type="dxa"/>
              <w:start w:w="85" w:type="dxa"/>
              <w:bottom w:w="95" w:type="dxa"/>
              <w:end w:w="85" w:type="dxa"/>
            </w:tcMar>
          </w:tcPr>
          <w:p>
            <w:pPr>
              <w:spacing w:before="0" w:after="0" w:line="252" w:lineRule="auto"/>
              <w:jc w:val="center"/>
            </w:pPr>
            <w:r>
              <w:rPr>
                <w:b/>
                <w:color w:val="FFFFFF"/>
                <w:sz w:val="19"/>
              </w:rPr>
              <w:t>Code</w:t>
            </w:r>
          </w:p>
        </w:tc>
        <w:tc>
          <w:tcPr>
            <w:tcW w:type="dxa" w:w="2736"/>
            <w:shd w:fill="234A84"/>
            <w:tcMar>
              <w:top w:w="95" w:type="dxa"/>
              <w:start w:w="85" w:type="dxa"/>
              <w:bottom w:w="95" w:type="dxa"/>
              <w:end w:w="85" w:type="dxa"/>
            </w:tcMar>
          </w:tcPr>
          <w:p>
            <w:pPr>
              <w:spacing w:before="0" w:after="0" w:line="252" w:lineRule="auto"/>
              <w:jc w:val="center"/>
            </w:pPr>
            <w:r>
              <w:rPr>
                <w:b/>
                <w:color w:val="FFFFFF"/>
                <w:sz w:val="19"/>
              </w:rPr>
              <w:t>Principle</w:t>
            </w:r>
          </w:p>
        </w:tc>
        <w:tc>
          <w:tcPr>
            <w:tcW w:type="dxa" w:w="4968"/>
            <w:shd w:fill="234A84"/>
            <w:tcMar>
              <w:top w:w="95" w:type="dxa"/>
              <w:start w:w="85" w:type="dxa"/>
              <w:bottom w:w="95" w:type="dxa"/>
              <w:end w:w="85" w:type="dxa"/>
            </w:tcMar>
          </w:tcPr>
          <w:p>
            <w:pPr>
              <w:spacing w:before="0" w:after="0" w:line="252" w:lineRule="auto"/>
              <w:jc w:val="center"/>
            </w:pPr>
            <w:r>
              <w:rPr>
                <w:b/>
                <w:color w:val="FFFFFF"/>
                <w:sz w:val="19"/>
              </w:rPr>
              <w:t>Implication for build</w:t>
            </w:r>
          </w:p>
        </w:tc>
      </w:tr>
      <w:tr>
        <w:tc>
          <w:tcPr>
            <w:tcW w:type="dxa" w:w="1656"/>
            <w:tcMar>
              <w:top w:w="90" w:type="dxa"/>
              <w:start w:w="85" w:type="dxa"/>
              <w:bottom w:w="90" w:type="dxa"/>
              <w:end w:w="85" w:type="dxa"/>
            </w:tcMar>
            <w:vAlign w:val="center"/>
            <w:shd w:fill="F6F9FD"/>
          </w:tcPr>
          <w:p>
            <w:pPr>
              <w:spacing w:before="0" w:after="0" w:line="259" w:lineRule="auto"/>
              <w:jc w:val="center"/>
            </w:pPr>
            <w:r>
              <w:rPr>
                <w:b/>
                <w:color w:val="163A70"/>
                <w:sz w:val="18"/>
              </w:rPr>
              <w:t>Doctrine 1</w:t>
            </w:r>
          </w:p>
        </w:tc>
        <w:tc>
          <w:tcPr>
            <w:tcW w:type="dxa" w:w="2736"/>
            <w:tcMar>
              <w:top w:w="90" w:type="dxa"/>
              <w:start w:w="85" w:type="dxa"/>
              <w:bottom w:w="90" w:type="dxa"/>
              <w:end w:w="85" w:type="dxa"/>
            </w:tcMar>
            <w:vAlign w:val="center"/>
          </w:tcPr>
          <w:p>
            <w:pPr>
              <w:spacing w:before="0" w:after="0" w:line="259" w:lineRule="auto"/>
              <w:jc w:val="left"/>
            </w:pPr>
            <w:r>
              <w:rPr>
                <w:color w:val="223246"/>
                <w:sz w:val="18"/>
              </w:rPr>
              <w:t>Keep the learner surface simple</w:t>
            </w:r>
          </w:p>
        </w:tc>
        <w:tc>
          <w:tcPr>
            <w:tcW w:type="dxa" w:w="4968"/>
            <w:tcMar>
              <w:top w:w="90" w:type="dxa"/>
              <w:start w:w="85" w:type="dxa"/>
              <w:bottom w:w="90" w:type="dxa"/>
              <w:end w:w="85" w:type="dxa"/>
            </w:tcMar>
            <w:vAlign w:val="center"/>
          </w:tcPr>
          <w:p>
            <w:pPr>
              <w:spacing w:before="0" w:after="0" w:line="259" w:lineRule="auto"/>
              <w:jc w:val="left"/>
            </w:pPr>
            <w:r>
              <w:rPr>
                <w:color w:val="223246"/>
                <w:sz w:val="18"/>
              </w:rPr>
              <w:t>Learners should mainly see what to do next, what is pending, what is complete, and where to get help.</w:t>
            </w:r>
          </w:p>
        </w:tc>
      </w:tr>
      <w:tr>
        <w:tc>
          <w:tcPr>
            <w:tcW w:type="dxa" w:w="1656"/>
            <w:tcMar>
              <w:top w:w="90" w:type="dxa"/>
              <w:start w:w="85" w:type="dxa"/>
              <w:bottom w:w="90" w:type="dxa"/>
              <w:end w:w="85" w:type="dxa"/>
            </w:tcMar>
            <w:vAlign w:val="center"/>
            <w:shd w:fill="F6F9FD"/>
          </w:tcPr>
          <w:p>
            <w:pPr>
              <w:spacing w:before="0" w:after="0" w:line="259" w:lineRule="auto"/>
              <w:jc w:val="center"/>
            </w:pPr>
            <w:r>
              <w:rPr>
                <w:b/>
                <w:color w:val="163A70"/>
                <w:sz w:val="18"/>
              </w:rPr>
              <w:t>Doctrine 2</w:t>
            </w:r>
          </w:p>
        </w:tc>
        <w:tc>
          <w:tcPr>
            <w:tcW w:type="dxa" w:w="2736"/>
            <w:tcMar>
              <w:top w:w="90" w:type="dxa"/>
              <w:start w:w="85" w:type="dxa"/>
              <w:bottom w:w="90" w:type="dxa"/>
              <w:end w:w="85" w:type="dxa"/>
            </w:tcMar>
            <w:vAlign w:val="center"/>
          </w:tcPr>
          <w:p>
            <w:pPr>
              <w:spacing w:before="0" w:after="0" w:line="259" w:lineRule="auto"/>
              <w:jc w:val="left"/>
            </w:pPr>
            <w:r>
              <w:rPr>
                <w:color w:val="223246"/>
                <w:sz w:val="18"/>
              </w:rPr>
              <w:t>Make admin depth stronger than learner depth</w:t>
            </w:r>
          </w:p>
        </w:tc>
        <w:tc>
          <w:tcPr>
            <w:tcW w:type="dxa" w:w="4968"/>
            <w:tcMar>
              <w:top w:w="90" w:type="dxa"/>
              <w:start w:w="85" w:type="dxa"/>
              <w:bottom w:w="90" w:type="dxa"/>
              <w:end w:w="85" w:type="dxa"/>
            </w:tcMar>
            <w:vAlign w:val="center"/>
          </w:tcPr>
          <w:p>
            <w:pPr>
              <w:spacing w:before="0" w:after="0" w:line="259" w:lineRule="auto"/>
              <w:jc w:val="left"/>
            </w:pPr>
            <w:r>
              <w:rPr>
                <w:color w:val="223246"/>
                <w:sz w:val="18"/>
              </w:rPr>
              <w:t>Strengthscape's advantage will come from reporting, cohort analysis, heat maps, assignments, action planning, and guided interpretation.</w:t>
            </w:r>
          </w:p>
        </w:tc>
      </w:tr>
      <w:tr>
        <w:tc>
          <w:tcPr>
            <w:tcW w:type="dxa" w:w="1656"/>
            <w:tcMar>
              <w:top w:w="90" w:type="dxa"/>
              <w:start w:w="85" w:type="dxa"/>
              <w:bottom w:w="90" w:type="dxa"/>
              <w:end w:w="85" w:type="dxa"/>
            </w:tcMar>
            <w:vAlign w:val="center"/>
            <w:shd w:fill="F6F9FD"/>
          </w:tcPr>
          <w:p>
            <w:pPr>
              <w:spacing w:before="0" w:after="0" w:line="259" w:lineRule="auto"/>
              <w:jc w:val="center"/>
            </w:pPr>
            <w:r>
              <w:rPr>
                <w:b/>
                <w:color w:val="163A70"/>
                <w:sz w:val="18"/>
              </w:rPr>
              <w:t>Doctrine 3</w:t>
            </w:r>
          </w:p>
        </w:tc>
        <w:tc>
          <w:tcPr>
            <w:tcW w:type="dxa" w:w="2736"/>
            <w:tcMar>
              <w:top w:w="90" w:type="dxa"/>
              <w:start w:w="85" w:type="dxa"/>
              <w:bottom w:w="90" w:type="dxa"/>
              <w:end w:w="85" w:type="dxa"/>
            </w:tcMar>
            <w:vAlign w:val="center"/>
          </w:tcPr>
          <w:p>
            <w:pPr>
              <w:spacing w:before="0" w:after="0" w:line="259" w:lineRule="auto"/>
              <w:jc w:val="left"/>
            </w:pPr>
            <w:r>
              <w:rPr>
                <w:color w:val="223246"/>
                <w:sz w:val="18"/>
              </w:rPr>
              <w:t>Use guided AI, not uncontrolled AI</w:t>
            </w:r>
          </w:p>
        </w:tc>
        <w:tc>
          <w:tcPr>
            <w:tcW w:type="dxa" w:w="4968"/>
            <w:tcMar>
              <w:top w:w="90" w:type="dxa"/>
              <w:start w:w="85" w:type="dxa"/>
              <w:bottom w:w="90" w:type="dxa"/>
              <w:end w:w="85" w:type="dxa"/>
            </w:tcMar>
            <w:vAlign w:val="center"/>
          </w:tcPr>
          <w:p>
            <w:pPr>
              <w:spacing w:before="0" w:after="0" w:line="259" w:lineRule="auto"/>
              <w:jc w:val="left"/>
            </w:pPr>
            <w:r>
              <w:rPr>
                <w:color w:val="223246"/>
                <w:sz w:val="18"/>
              </w:rPr>
              <w:t>Client-facing AI should follow structured journeys, including the planned 10 standard dropdown questions.</w:t>
            </w:r>
          </w:p>
        </w:tc>
      </w:tr>
      <w:tr>
        <w:tc>
          <w:tcPr>
            <w:tcW w:type="dxa" w:w="1656"/>
            <w:tcMar>
              <w:top w:w="90" w:type="dxa"/>
              <w:start w:w="85" w:type="dxa"/>
              <w:bottom w:w="90" w:type="dxa"/>
              <w:end w:w="85" w:type="dxa"/>
            </w:tcMar>
            <w:vAlign w:val="center"/>
            <w:shd w:fill="F6F9FD"/>
          </w:tcPr>
          <w:p>
            <w:pPr>
              <w:spacing w:before="0" w:after="0" w:line="259" w:lineRule="auto"/>
              <w:jc w:val="center"/>
            </w:pPr>
            <w:r>
              <w:rPr>
                <w:b/>
                <w:color w:val="163A70"/>
                <w:sz w:val="18"/>
              </w:rPr>
              <w:t>Doctrine 4</w:t>
            </w:r>
          </w:p>
        </w:tc>
        <w:tc>
          <w:tcPr>
            <w:tcW w:type="dxa" w:w="2736"/>
            <w:tcMar>
              <w:top w:w="90" w:type="dxa"/>
              <w:start w:w="85" w:type="dxa"/>
              <w:bottom w:w="90" w:type="dxa"/>
              <w:end w:w="85" w:type="dxa"/>
            </w:tcMar>
            <w:vAlign w:val="center"/>
          </w:tcPr>
          <w:p>
            <w:pPr>
              <w:spacing w:before="0" w:after="0" w:line="259" w:lineRule="auto"/>
              <w:jc w:val="left"/>
            </w:pPr>
            <w:r>
              <w:rPr>
                <w:color w:val="223246"/>
                <w:sz w:val="18"/>
              </w:rPr>
              <w:t>Use Bubble as the shell, not the whole machine</w:t>
            </w:r>
          </w:p>
        </w:tc>
        <w:tc>
          <w:tcPr>
            <w:tcW w:type="dxa" w:w="4968"/>
            <w:tcMar>
              <w:top w:w="90" w:type="dxa"/>
              <w:start w:w="85" w:type="dxa"/>
              <w:bottom w:w="90" w:type="dxa"/>
              <w:end w:w="85" w:type="dxa"/>
            </w:tcMar>
            <w:vAlign w:val="center"/>
          </w:tcPr>
          <w:p>
            <w:pPr>
              <w:spacing w:before="0" w:after="0" w:line="259" w:lineRule="auto"/>
              <w:jc w:val="left"/>
            </w:pPr>
            <w:r>
              <w:rPr>
                <w:color w:val="223246"/>
                <w:sz w:val="18"/>
              </w:rPr>
              <w:t>Bubble should drive UI, workflows, roles, data access, and orchestration; external systems should do specialized work.</w:t>
            </w:r>
          </w:p>
        </w:tc>
      </w:tr>
      <w:tr>
        <w:tc>
          <w:tcPr>
            <w:tcW w:type="dxa" w:w="1656"/>
            <w:tcMar>
              <w:top w:w="90" w:type="dxa"/>
              <w:start w:w="85" w:type="dxa"/>
              <w:bottom w:w="90" w:type="dxa"/>
              <w:end w:w="85" w:type="dxa"/>
            </w:tcMar>
            <w:vAlign w:val="center"/>
            <w:shd w:fill="F6F9FD"/>
          </w:tcPr>
          <w:p>
            <w:pPr>
              <w:spacing w:before="0" w:after="0" w:line="259" w:lineRule="auto"/>
              <w:jc w:val="center"/>
            </w:pPr>
            <w:r>
              <w:rPr>
                <w:b/>
                <w:color w:val="163A70"/>
                <w:sz w:val="18"/>
              </w:rPr>
              <w:t>Doctrine 5</w:t>
            </w:r>
          </w:p>
        </w:tc>
        <w:tc>
          <w:tcPr>
            <w:tcW w:type="dxa" w:w="2736"/>
            <w:tcMar>
              <w:top w:w="90" w:type="dxa"/>
              <w:start w:w="85" w:type="dxa"/>
              <w:bottom w:w="90" w:type="dxa"/>
              <w:end w:w="85" w:type="dxa"/>
            </w:tcMar>
            <w:vAlign w:val="center"/>
          </w:tcPr>
          <w:p>
            <w:pPr>
              <w:spacing w:before="0" w:after="0" w:line="259" w:lineRule="auto"/>
              <w:jc w:val="left"/>
            </w:pPr>
            <w:r>
              <w:rPr>
                <w:color w:val="223246"/>
                <w:sz w:val="18"/>
              </w:rPr>
              <w:t>Design every feature to reduce manual service load</w:t>
            </w:r>
          </w:p>
        </w:tc>
        <w:tc>
          <w:tcPr>
            <w:tcW w:type="dxa" w:w="4968"/>
            <w:tcMar>
              <w:top w:w="90" w:type="dxa"/>
              <w:start w:w="85" w:type="dxa"/>
              <w:bottom w:w="90" w:type="dxa"/>
              <w:end w:w="85" w:type="dxa"/>
            </w:tcMar>
            <w:vAlign w:val="center"/>
          </w:tcPr>
          <w:p>
            <w:pPr>
              <w:spacing w:before="0" w:after="0" w:line="259" w:lineRule="auto"/>
              <w:jc w:val="left"/>
            </w:pPr>
            <w:r>
              <w:rPr>
                <w:color w:val="223246"/>
                <w:sz w:val="18"/>
              </w:rPr>
              <w:t>Automation, reusable templates, and AI-assisted generation must lower future operational dependency.</w:t>
            </w:r>
          </w:p>
        </w:tc>
      </w:tr>
    </w:tbl>
    <w:p>
      <w:r>
        <w:br w:type="page"/>
      </w:r>
    </w:p>
    <w:p>
      <w:pPr>
        <w:pStyle w:val="Heading1"/>
        <w:spacing w:before="200" w:after="80" w:line="276" w:lineRule="auto"/>
      </w:pPr>
      <w:r>
        <w:t>6. Why Bubble is the right primary platform</w:t>
      </w:r>
    </w:p>
    <w:p>
      <w:pPr>
        <w:spacing w:before="0" w:after="140" w:line="283" w:lineRule="auto"/>
      </w:pPr>
      <w:r>
        <w:rPr>
          <w:color w:val="25364D"/>
          <w:sz w:val="21"/>
        </w:rPr>
        <w:t>Bubble is the right primary environment because it can assemble role-based dashboards, conditional interfaces, course structures, learner experiences, multi-tenant logic, internal tools, and API-based orchestration quickly. It should remain the experience and workflow shell rather than being forced to act as the heavy media engine, billing engine, or psychometric scoring engine.</w:t>
      </w:r>
    </w:p>
    <w:p>
      <w:pPr>
        <w:pStyle w:val="Heading1"/>
        <w:spacing w:before="200" w:after="80" w:line="276" w:lineRule="auto"/>
      </w:pPr>
      <w:r>
        <w:t>7. Recommended architecture boundary</w:t>
      </w:r>
    </w:p>
    <w:p>
      <w:pPr>
        <w:spacing w:before="0" w:after="140" w:line="283" w:lineRule="auto"/>
      </w:pPr>
      <w:r>
        <w:rPr>
          <w:color w:val="25364D"/>
          <w:sz w:val="21"/>
        </w:rPr>
        <w:t>Bubble should own users, roles, companies, learning paths, lessons, quizzes, progress, certificates, dashboards, AI request forms, and reporting views. External services should own streaming video, subscription billing events, payment links, large file storage, AI processing, and advanced automation chains. This produces a cleaner and more durable architecture because each system does what it is best at.</w:t>
      </w:r>
    </w:p>
    <w:p>
      <w:pPr>
        <w:pStyle w:val="Heading1"/>
        <w:spacing w:before="200" w:after="80" w:line="276" w:lineRule="auto"/>
      </w:pPr>
      <w:r>
        <w:t>8. LMS versus Assessment Centre</w:t>
      </w:r>
    </w:p>
    <w:p>
      <w:pPr>
        <w:spacing w:before="0" w:after="140" w:line="283" w:lineRule="auto"/>
      </w:pPr>
      <w:r>
        <w:rPr>
          <w:color w:val="25364D"/>
          <w:sz w:val="21"/>
        </w:rPr>
        <w:t>Edge LMS should include learning-linked assessments such as quizzes, self-checks, surveys, reflections, manager check-ins, action-planning forms, and pulse surveys. It should not become a full psychometric or 360 assessment engine. The assessment centre should remain a separate but integrated layer for complex scoring, benchmarking, rater architecture, and formal report generation. The LMS should consume selected assessment outputs and convert them into learning actions, recommendations, and follow-through guidance.</w:t>
      </w:r>
    </w:p>
    <w:p>
      <w:pPr>
        <w:pStyle w:val="Heading1"/>
        <w:spacing w:before="200" w:after="100" w:line="276" w:lineRule="auto"/>
      </w:pPr>
      <w:r>
        <w:t>9. Contemporary LMS capabilities to reserve now</w:t>
      </w:r>
    </w:p>
    <w:tbl>
      <w:tblPr>
        <w:tblW w:type="auto" w:w="0"/>
        <w:jc w:val="center"/>
        <w:tblLayout w:type="fixed"/>
        <w:tblLook w:firstColumn="1" w:firstRow="1" w:lastColumn="0" w:lastRow="0" w:noHBand="0" w:noVBand="1" w:val="04A0"/>
        <w:tblBorders>
          <w:top w:val="single" w:sz="6" w:space="0" w:color="C9D3E6"/>
          <w:left w:val="single" w:sz="6" w:space="0" w:color="C9D3E6"/>
          <w:bottom w:val="single" w:sz="6" w:space="0" w:color="C9D3E6"/>
          <w:right w:val="single" w:sz="6" w:space="0" w:color="C9D3E6"/>
          <w:insideH w:val="single" w:sz="6" w:space="0" w:color="C9D3E6"/>
          <w:insideV w:val="single" w:sz="6" w:space="0" w:color="C9D3E6"/>
        </w:tblBorders>
      </w:tblPr>
      <w:tblGrid>
        <w:gridCol w:w="4819"/>
        <w:gridCol w:w="4819"/>
      </w:tblGrid>
      <w:tr>
        <w:tc>
          <w:tcPr>
            <w:tcW w:type="dxa" w:w="2952"/>
            <w:shd w:fill="234A84"/>
            <w:tcMar>
              <w:top w:w="95" w:type="dxa"/>
              <w:start w:w="85" w:type="dxa"/>
              <w:bottom w:w="95" w:type="dxa"/>
              <w:end w:w="85" w:type="dxa"/>
            </w:tcMar>
          </w:tcPr>
          <w:p>
            <w:pPr>
              <w:spacing w:before="0" w:after="0" w:line="259" w:lineRule="auto"/>
              <w:jc w:val="center"/>
            </w:pPr>
            <w:r>
              <w:rPr>
                <w:b/>
                <w:color w:val="FFFFFF"/>
                <w:sz w:val="19"/>
              </w:rPr>
              <w:t>Capability</w:t>
            </w:r>
          </w:p>
        </w:tc>
        <w:tc>
          <w:tcPr>
            <w:tcW w:type="dxa" w:w="6408"/>
            <w:shd w:fill="234A84"/>
            <w:tcMar>
              <w:top w:w="95" w:type="dxa"/>
              <w:start w:w="85" w:type="dxa"/>
              <w:bottom w:w="95" w:type="dxa"/>
              <w:end w:w="85" w:type="dxa"/>
            </w:tcMar>
          </w:tcPr>
          <w:p>
            <w:pPr>
              <w:spacing w:before="0" w:after="0" w:line="259" w:lineRule="auto"/>
              <w:jc w:val="center"/>
            </w:pPr>
            <w:r>
              <w:rPr>
                <w:b/>
                <w:color w:val="FFFFFF"/>
                <w:sz w:val="19"/>
              </w:rPr>
              <w:t>Why it matters</w:t>
            </w:r>
          </w:p>
        </w:tc>
      </w:tr>
      <w:tr>
        <w:tc>
          <w:tcPr>
            <w:tcW w:type="dxa" w:w="2952"/>
            <w:tcMar>
              <w:top w:w="90" w:type="dxa"/>
              <w:start w:w="85" w:type="dxa"/>
              <w:bottom w:w="90" w:type="dxa"/>
              <w:end w:w="85" w:type="dxa"/>
            </w:tcMar>
            <w:shd w:fill="F7FAFE"/>
          </w:tcPr>
          <w:p>
            <w:pPr>
              <w:spacing w:before="0" w:after="0" w:line="259" w:lineRule="auto"/>
            </w:pPr>
            <w:r>
              <w:rPr>
                <w:b/>
                <w:color w:val="163A70"/>
                <w:sz w:val="18"/>
              </w:rPr>
              <w:t>Forms and surveys</w:t>
            </w:r>
          </w:p>
        </w:tc>
        <w:tc>
          <w:tcPr>
            <w:tcW w:type="dxa" w:w="6408"/>
            <w:tcMar>
              <w:top w:w="90" w:type="dxa"/>
              <w:start w:w="85" w:type="dxa"/>
              <w:bottom w:w="90" w:type="dxa"/>
              <w:end w:w="85" w:type="dxa"/>
            </w:tcMar>
          </w:tcPr>
          <w:p>
            <w:pPr>
              <w:spacing w:before="0" w:after="0" w:line="259" w:lineRule="auto"/>
            </w:pPr>
            <w:r>
              <w:rPr>
                <w:color w:val="223246"/>
                <w:sz w:val="18"/>
              </w:rPr>
              <w:t>Separate forms from graded quizzes so the platform can support pulse checks, reflection forms, and post-program feedback.</w:t>
            </w:r>
          </w:p>
        </w:tc>
      </w:tr>
      <w:tr>
        <w:tc>
          <w:tcPr>
            <w:tcW w:type="dxa" w:w="2952"/>
            <w:tcMar>
              <w:top w:w="90" w:type="dxa"/>
              <w:start w:w="85" w:type="dxa"/>
              <w:bottom w:w="90" w:type="dxa"/>
              <w:end w:w="85" w:type="dxa"/>
            </w:tcMar>
            <w:shd w:fill="F7FAFE"/>
          </w:tcPr>
          <w:p>
            <w:pPr>
              <w:spacing w:before="0" w:after="0" w:line="259" w:lineRule="auto"/>
            </w:pPr>
            <w:r>
              <w:rPr>
                <w:b/>
                <w:color w:val="163A70"/>
                <w:sz w:val="18"/>
              </w:rPr>
              <w:t>Skills and competency mapping</w:t>
            </w:r>
          </w:p>
        </w:tc>
        <w:tc>
          <w:tcPr>
            <w:tcW w:type="dxa" w:w="6408"/>
            <w:tcMar>
              <w:top w:w="90" w:type="dxa"/>
              <w:start w:w="85" w:type="dxa"/>
              <w:bottom w:w="90" w:type="dxa"/>
              <w:end w:w="85" w:type="dxa"/>
            </w:tcMar>
          </w:tcPr>
          <w:p>
            <w:pPr>
              <w:spacing w:before="0" w:after="0" w:line="259" w:lineRule="auto"/>
            </w:pPr>
            <w:r>
              <w:rPr>
                <w:color w:val="223246"/>
                <w:sz w:val="18"/>
              </w:rPr>
              <w:t>Allow future mapping between courses, roles, capability areas, and proficiency levels.</w:t>
            </w:r>
          </w:p>
        </w:tc>
      </w:tr>
      <w:tr>
        <w:tc>
          <w:tcPr>
            <w:tcW w:type="dxa" w:w="2952"/>
            <w:tcMar>
              <w:top w:w="90" w:type="dxa"/>
              <w:start w:w="85" w:type="dxa"/>
              <w:bottom w:w="90" w:type="dxa"/>
              <w:end w:w="85" w:type="dxa"/>
            </w:tcMar>
            <w:shd w:fill="F7FAFE"/>
          </w:tcPr>
          <w:p>
            <w:pPr>
              <w:spacing w:before="0" w:after="0" w:line="259" w:lineRule="auto"/>
            </w:pPr>
            <w:r>
              <w:rPr>
                <w:b/>
                <w:color w:val="163A70"/>
                <w:sz w:val="18"/>
              </w:rPr>
              <w:t>Content engagement analytics</w:t>
            </w:r>
          </w:p>
        </w:tc>
        <w:tc>
          <w:tcPr>
            <w:tcW w:type="dxa" w:w="6408"/>
            <w:tcMar>
              <w:top w:w="90" w:type="dxa"/>
              <w:start w:w="85" w:type="dxa"/>
              <w:bottom w:w="90" w:type="dxa"/>
              <w:end w:w="85" w:type="dxa"/>
            </w:tcMar>
          </w:tcPr>
          <w:p>
            <w:pPr>
              <w:spacing w:before="0" w:after="0" w:line="259" w:lineRule="auto"/>
            </w:pPr>
            <w:r>
              <w:rPr>
                <w:color w:val="223246"/>
                <w:sz w:val="18"/>
              </w:rPr>
              <w:t>Track activation, drop-off, and usage patterns rather than relying only on completion.</w:t>
            </w:r>
          </w:p>
        </w:tc>
      </w:tr>
      <w:tr>
        <w:tc>
          <w:tcPr>
            <w:tcW w:type="dxa" w:w="2952"/>
            <w:tcMar>
              <w:top w:w="90" w:type="dxa"/>
              <w:start w:w="85" w:type="dxa"/>
              <w:bottom w:w="90" w:type="dxa"/>
              <w:end w:w="85" w:type="dxa"/>
            </w:tcMar>
            <w:shd w:fill="F7FAFE"/>
          </w:tcPr>
          <w:p>
            <w:pPr>
              <w:spacing w:before="0" w:after="0" w:line="259" w:lineRule="auto"/>
            </w:pPr>
            <w:r>
              <w:rPr>
                <w:b/>
                <w:color w:val="163A70"/>
                <w:sz w:val="18"/>
              </w:rPr>
              <w:t>Certificate validity and recertification</w:t>
            </w:r>
          </w:p>
        </w:tc>
        <w:tc>
          <w:tcPr>
            <w:tcW w:type="dxa" w:w="6408"/>
            <w:tcMar>
              <w:top w:w="90" w:type="dxa"/>
              <w:start w:w="85" w:type="dxa"/>
              <w:bottom w:w="90" w:type="dxa"/>
              <w:end w:w="85" w:type="dxa"/>
            </w:tcMar>
          </w:tcPr>
          <w:p>
            <w:pPr>
              <w:spacing w:before="0" w:after="0" w:line="259" w:lineRule="auto"/>
            </w:pPr>
            <w:r>
              <w:rPr>
                <w:color w:val="223246"/>
                <w:sz w:val="18"/>
              </w:rPr>
              <w:t>Support renewal cycles for compliance and internal certification journeys.</w:t>
            </w:r>
          </w:p>
        </w:tc>
      </w:tr>
      <w:tr>
        <w:tc>
          <w:tcPr>
            <w:tcW w:type="dxa" w:w="2952"/>
            <w:tcMar>
              <w:top w:w="90" w:type="dxa"/>
              <w:start w:w="85" w:type="dxa"/>
              <w:bottom w:w="90" w:type="dxa"/>
              <w:end w:w="85" w:type="dxa"/>
            </w:tcMar>
            <w:shd w:fill="F7FAFE"/>
          </w:tcPr>
          <w:p>
            <w:pPr>
              <w:spacing w:before="0" w:after="0" w:line="259" w:lineRule="auto"/>
            </w:pPr>
            <w:r>
              <w:rPr>
                <w:b/>
                <w:color w:val="163A70"/>
                <w:sz w:val="18"/>
              </w:rPr>
              <w:t>Extended enterprise support</w:t>
            </w:r>
          </w:p>
        </w:tc>
        <w:tc>
          <w:tcPr>
            <w:tcW w:type="dxa" w:w="6408"/>
            <w:tcMar>
              <w:top w:w="90" w:type="dxa"/>
              <w:start w:w="85" w:type="dxa"/>
              <w:bottom w:w="90" w:type="dxa"/>
              <w:end w:w="85" w:type="dxa"/>
            </w:tcMar>
          </w:tcPr>
          <w:p>
            <w:pPr>
              <w:spacing w:before="0" w:after="0" w:line="259" w:lineRule="auto"/>
            </w:pPr>
            <w:r>
              <w:rPr>
                <w:color w:val="223246"/>
                <w:sz w:val="18"/>
              </w:rPr>
              <w:t>Serve employees, clients, and possibly partners from one core multi-tenant model.</w:t>
            </w:r>
          </w:p>
        </w:tc>
      </w:tr>
      <w:tr>
        <w:tc>
          <w:tcPr>
            <w:tcW w:type="dxa" w:w="2952"/>
            <w:tcMar>
              <w:top w:w="90" w:type="dxa"/>
              <w:start w:w="85" w:type="dxa"/>
              <w:bottom w:w="90" w:type="dxa"/>
              <w:end w:w="85" w:type="dxa"/>
            </w:tcMar>
            <w:shd w:fill="F7FAFE"/>
          </w:tcPr>
          <w:p>
            <w:pPr>
              <w:spacing w:before="0" w:after="0" w:line="259" w:lineRule="auto"/>
            </w:pPr>
            <w:r>
              <w:rPr>
                <w:b/>
                <w:color w:val="163A70"/>
                <w:sz w:val="18"/>
              </w:rPr>
              <w:t>Guided intelligence</w:t>
            </w:r>
          </w:p>
        </w:tc>
        <w:tc>
          <w:tcPr>
            <w:tcW w:type="dxa" w:w="6408"/>
            <w:tcMar>
              <w:top w:w="90" w:type="dxa"/>
              <w:start w:w="85" w:type="dxa"/>
              <w:bottom w:w="90" w:type="dxa"/>
              <w:end w:w="85" w:type="dxa"/>
            </w:tcMar>
          </w:tcPr>
          <w:p>
            <w:pPr>
              <w:spacing w:before="0" w:after="0" w:line="259" w:lineRule="auto"/>
            </w:pPr>
            <w:r>
              <w:rPr>
                <w:color w:val="223246"/>
                <w:sz w:val="18"/>
              </w:rPr>
              <w:t>Use structured AI prompts and dropdown-led questions rather than blank prompting.</w:t>
            </w:r>
          </w:p>
        </w:tc>
      </w:tr>
      <w:tr>
        <w:tc>
          <w:tcPr>
            <w:tcW w:type="dxa" w:w="2952"/>
            <w:tcMar>
              <w:top w:w="90" w:type="dxa"/>
              <w:start w:w="85" w:type="dxa"/>
              <w:bottom w:w="90" w:type="dxa"/>
              <w:end w:w="85" w:type="dxa"/>
            </w:tcMar>
            <w:shd w:fill="F7FAFE"/>
          </w:tcPr>
          <w:p>
            <w:pPr>
              <w:spacing w:before="0" w:after="0" w:line="259" w:lineRule="auto"/>
            </w:pPr>
            <w:r>
              <w:rPr>
                <w:b/>
                <w:color w:val="163A70"/>
                <w:sz w:val="18"/>
              </w:rPr>
              <w:t>Subjective review workflow</w:t>
            </w:r>
          </w:p>
        </w:tc>
        <w:tc>
          <w:tcPr>
            <w:tcW w:type="dxa" w:w="6408"/>
            <w:tcMar>
              <w:top w:w="90" w:type="dxa"/>
              <w:start w:w="85" w:type="dxa"/>
              <w:bottom w:w="90" w:type="dxa"/>
              <w:end w:w="85" w:type="dxa"/>
            </w:tcMar>
          </w:tcPr>
          <w:p>
            <w:pPr>
              <w:spacing w:before="0" w:after="0" w:line="259" w:lineRule="auto"/>
            </w:pPr>
            <w:r>
              <w:rPr>
                <w:color w:val="223246"/>
                <w:sz w:val="18"/>
              </w:rPr>
              <w:t>Reserve future support for assignment review, facilitator comments, and manager sign-off.</w:t>
            </w:r>
          </w:p>
        </w:tc>
      </w:tr>
    </w:tbl>
    <w:p>
      <w:pPr>
        <w:pStyle w:val="Heading1"/>
        <w:spacing w:before="200" w:after="60" w:line="276" w:lineRule="auto"/>
      </w:pPr>
      <w:r>
        <w:t>10. Non-negotiable build rules</w:t>
      </w:r>
    </w:p>
    <w:p>
      <w:pPr>
        <w:spacing w:before="0" w:after="40" w:line="276" w:lineRule="auto"/>
        <w:ind w:left="227"/>
      </w:pPr>
      <w:r>
        <w:rPr>
          <w:b/>
          <w:color w:val="224F8F"/>
        </w:rPr>
        <w:t xml:space="preserve">• </w:t>
      </w:r>
      <w:r>
        <w:rPr>
          <w:color w:val="25364D"/>
          <w:sz w:val="20"/>
        </w:rPr>
        <w:t>Every record must respect tenant isolation from day one.</w:t>
      </w:r>
    </w:p>
    <w:p>
      <w:pPr>
        <w:spacing w:before="0" w:after="40" w:line="276" w:lineRule="auto"/>
        <w:ind w:left="227"/>
      </w:pPr>
      <w:r>
        <w:rPr>
          <w:b/>
          <w:color w:val="224F8F"/>
        </w:rPr>
        <w:t xml:space="preserve">• </w:t>
      </w:r>
      <w:r>
        <w:rPr>
          <w:color w:val="25364D"/>
          <w:sz w:val="20"/>
        </w:rPr>
        <w:t>Every page must use role-based visibility rather than duplicate page structures wherever possible.</w:t>
      </w:r>
    </w:p>
    <w:p>
      <w:pPr>
        <w:spacing w:before="0" w:after="40" w:line="276" w:lineRule="auto"/>
        <w:ind w:left="227"/>
      </w:pPr>
      <w:r>
        <w:rPr>
          <w:b/>
          <w:color w:val="224F8F"/>
        </w:rPr>
        <w:t xml:space="preserve">• </w:t>
      </w:r>
      <w:r>
        <w:rPr>
          <w:color w:val="25364D"/>
          <w:sz w:val="20"/>
        </w:rPr>
        <w:t>All major external integrations should be wrapped in reusable Bubble workflows or API actions.</w:t>
      </w:r>
    </w:p>
    <w:p>
      <w:pPr>
        <w:spacing w:before="0" w:after="40" w:line="276" w:lineRule="auto"/>
        <w:ind w:left="227"/>
      </w:pPr>
      <w:r>
        <w:rPr>
          <w:b/>
          <w:color w:val="224F8F"/>
        </w:rPr>
        <w:t xml:space="preserve">• </w:t>
      </w:r>
      <w:r>
        <w:rPr>
          <w:color w:val="25364D"/>
          <w:sz w:val="20"/>
        </w:rPr>
        <w:t>Anything computationally heavy should be processed asynchronously or externally.</w:t>
      </w:r>
    </w:p>
    <w:p>
      <w:pPr>
        <w:spacing w:before="0" w:after="40" w:line="276" w:lineRule="auto"/>
        <w:ind w:left="227"/>
      </w:pPr>
      <w:r>
        <w:rPr>
          <w:b/>
          <w:color w:val="224F8F"/>
        </w:rPr>
        <w:t xml:space="preserve">• </w:t>
      </w:r>
      <w:r>
        <w:rPr>
          <w:color w:val="25364D"/>
          <w:sz w:val="20"/>
        </w:rPr>
        <w:t>Videos must be externally hosted.</w:t>
      </w:r>
    </w:p>
    <w:p>
      <w:pPr>
        <w:spacing w:before="0" w:after="40" w:line="276" w:lineRule="auto"/>
        <w:ind w:left="227"/>
      </w:pPr>
      <w:r>
        <w:rPr>
          <w:b/>
          <w:color w:val="224F8F"/>
        </w:rPr>
        <w:t xml:space="preserve">• </w:t>
      </w:r>
      <w:r>
        <w:rPr>
          <w:color w:val="25364D"/>
          <w:sz w:val="20"/>
        </w:rPr>
        <w:t>Client-facing AI should be guided rather than open-ended.</w:t>
      </w:r>
    </w:p>
    <w:p>
      <w:pPr>
        <w:spacing w:before="0" w:after="40" w:line="276" w:lineRule="auto"/>
        <w:ind w:left="227"/>
      </w:pPr>
      <w:r>
        <w:rPr>
          <w:b/>
          <w:color w:val="224F8F"/>
        </w:rPr>
        <w:t xml:space="preserve">• </w:t>
      </w:r>
      <w:r>
        <w:rPr>
          <w:color w:val="25364D"/>
          <w:sz w:val="20"/>
        </w:rPr>
        <w:t>Reports must be export-friendly from the first serious version.</w:t>
      </w:r>
    </w:p>
    <w:p>
      <w:pPr>
        <w:spacing w:before="0" w:after="40" w:line="276" w:lineRule="auto"/>
        <w:ind w:left="227"/>
      </w:pPr>
      <w:r>
        <w:rPr>
          <w:b/>
          <w:color w:val="224F8F"/>
        </w:rPr>
        <w:t xml:space="preserve">• </w:t>
      </w:r>
      <w:r>
        <w:rPr>
          <w:color w:val="25364D"/>
          <w:sz w:val="20"/>
        </w:rPr>
        <w:t>The same core data model must support both internal academy use and monetized client portals.</w:t>
      </w:r>
    </w:p>
    <w:tbl>
      <w:tblPr>
        <w:tblW w:type="auto" w:w="0"/>
        <w:jc w:val="left"/>
        <w:tblLayout w:type="fixed"/>
        <w:tblLook w:firstColumn="1" w:firstRow="1" w:lastColumn="0" w:lastRow="0" w:noHBand="0" w:noVBand="1" w:val="04A0"/>
        <w:tblBorders>
          <w:top w:val="single" w:sz="6" w:space="0" w:color="D7E3F3"/>
          <w:left w:val="single" w:sz="6" w:space="0" w:color="D7E3F3"/>
          <w:bottom w:val="single" w:sz="6" w:space="0" w:color="D7E3F3"/>
          <w:right w:val="single" w:sz="6" w:space="0" w:color="D7E3F3"/>
          <w:insideH w:val="single" w:sz="6" w:space="0" w:color="D7E3F3"/>
          <w:insideV w:val="single" w:sz="6" w:space="0" w:color="D7E3F3"/>
        </w:tblBorders>
      </w:tblPr>
      <w:tblGrid>
        <w:gridCol w:w="9072"/>
      </w:tblGrid>
      <w:tr>
        <w:tc>
          <w:tcPr>
            <w:tcW w:type="dxa" w:w="9638"/>
            <w:shd w:fill="F8FBFE"/>
            <w:tcMar>
              <w:top w:w="110" w:type="dxa"/>
              <w:start w:w="120" w:type="dxa"/>
              <w:bottom w:w="110" w:type="dxa"/>
              <w:end w:w="120" w:type="dxa"/>
            </w:tcMar>
          </w:tcPr>
          <w:p>
            <w:pPr>
              <w:spacing w:before="0" w:after="0" w:line="276" w:lineRule="auto"/>
            </w:pPr>
            <w:r>
              <w:rPr>
                <w:b/>
                <w:color w:val="163A70"/>
              </w:rPr>
              <w:t xml:space="preserve">Chapter 1 locked decisions. </w:t>
            </w:r>
            <w:r>
              <w:rPr>
                <w:color w:val="30435E"/>
              </w:rPr>
              <w:t>Edge LMS will be built as a multi-tenant Bubble-based platform serving internal, client, and consulting insight use cases. Bubble will act as the application shell, while Razorpay, Make, Vimeo, AI services, and external file infrastructure will support commerce, automation, media, intelligence, and storage. Learning-linked assessments belong in the LMS; full diagnostic assessment-centre logic remains a separate integrated layer.</w:t>
            </w:r>
          </w:p>
        </w:tc>
      </w:tr>
    </w:tbl>
    <w:sectPr w:rsidR="00FC693F" w:rsidRPr="0006063C" w:rsidSect="00034616">
      <w:footerReference w:type="default" r:id="rId9"/>
      <w:pgSz w:w="11906" w:h="16838"/>
      <w:pgMar w:top="1077"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699"/>
        <w:sz w:val="17"/>
      </w:rPr>
      <w:t>Edge LMS 2030 - Chapter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63A7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24F8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63A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A6B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