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S"/>
        <w:spacing w:before="200" w:after="120" w:line="276" w:lineRule="auto"/>
        <w:jc w:val="center"/>
      </w:pPr>
      <w:r>
        <w:t>Edge LMS 2030</w:t>
      </w:r>
    </w:p>
    <w:p>
      <w:pPr>
        <w:pStyle w:val="SectionSS"/>
        <w:spacing w:before="0" w:after="80" w:line="276" w:lineRule="auto"/>
        <w:jc w:val="center"/>
      </w:pPr>
      <w:r>
        <w:t>Chapter 6</w:t>
      </w:r>
    </w:p>
    <w:p>
      <w:pPr>
        <w:pStyle w:val="SectionSS"/>
        <w:spacing w:before="0" w:after="200" w:line="276" w:lineRule="auto"/>
        <w:jc w:val="center"/>
      </w:pPr>
      <w:r>
        <w:t>AI, Assessment Insight, and Intelligence Architecture</w:t>
      </w:r>
    </w:p>
    <w:p>
      <w:pPr>
        <w:pStyle w:val="SubtitleSS"/>
        <w:spacing w:before="0" w:after="400" w:line="276" w:lineRule="auto"/>
        <w:jc w:val="center"/>
      </w:pPr>
      <w:r>
        <w:t>Developer-facing specification for Bubble implementation with guided AI, assessment-linked insights, content generation, and intelligence workflows.</w:t>
      </w:r>
    </w:p>
    <w:tbl>
      <w:tblPr>
        <w:tblW w:type="auto" w:w="0"/>
        <w:jc w:val="center"/>
        <w:tblLook w:firstColumn="1" w:firstRow="1" w:lastColumn="0" w:lastRow="0" w:noHBand="0" w:noVBand="1" w:val="04A0"/>
      </w:tblPr>
      <w:tblGrid>
        <w:gridCol w:w="9936"/>
      </w:tblGrid>
      <w:tr>
        <w:tc>
          <w:tcPr>
            <w:tcW w:type="dxa" w:w="8928"/>
            <w:shd w:fill="1F4E79"/>
          </w:tcPr>
          <w:p>
            <w:r/>
          </w:p>
        </w:tc>
      </w:tr>
    </w:tbl>
    <w:p>
      <w:pPr>
        <w:pStyle w:val="BodySS"/>
        <w:spacing w:before="240" w:after="480" w:line="276" w:lineRule="auto"/>
        <w:jc w:val="center"/>
      </w:pPr>
      <w:r>
        <w:rPr>
          <w:i/>
        </w:rPr>
        <w:t>Prepared for Bubble-based development by Devansh with a minimal-code, API-first, AI-assisted build doctrine.</w:t>
      </w:r>
    </w:p>
    <w:tbl>
      <w:tblPr>
        <w:tblW w:type="auto" w:w="0"/>
        <w:jc w:val="center"/>
        <w:tblLook w:firstColumn="1" w:firstRow="1" w:lastColumn="0" w:lastRow="0" w:noHBand="0" w:noVBand="1" w:val="04A0"/>
      </w:tblPr>
      <w:tblGrid>
        <w:gridCol w:w="4968"/>
        <w:gridCol w:w="4968"/>
      </w:tblGrid>
      <w:tr>
        <w:tc>
          <w:tcPr>
            <w:tcW w:type="dxa" w:w="2880"/>
            <w:tcMar>
              <w:top w:w="100" w:type="dxa"/>
              <w:start w:w="120" w:type="dxa"/>
              <w:bottom w:w="100" w:type="dxa"/>
              <w:end w:w="120" w:type="dxa"/>
            </w:tcMar>
            <w:vAlign w:val="center"/>
            <w:shd w:fill="D9EAF7"/>
          </w:tcPr>
          <w:p>
            <w:pPr>
              <w:pStyle w:val="CalloutSS"/>
            </w:pPr>
            <w:r>
              <w:t>Primary purpose</w:t>
            </w:r>
          </w:p>
        </w:tc>
        <w:tc>
          <w:tcPr>
            <w:tcW w:type="dxa" w:w="6048"/>
            <w:tcMar>
              <w:top w:w="100" w:type="dxa"/>
              <w:start w:w="120" w:type="dxa"/>
              <w:bottom w:w="100" w:type="dxa"/>
              <w:end w:w="120" w:type="dxa"/>
            </w:tcMar>
            <w:vAlign w:val="center"/>
            <w:shd w:fill="F8FBFE"/>
          </w:tcPr>
          <w:p>
            <w:pPr>
              <w:pStyle w:val="BodySS"/>
            </w:pPr>
            <w:r>
              <w:t>Define how Edge LMS should use AI safely, productively, and commercially across learner support, client insight, internal enablement, and admin efficiency.</w:t>
            </w:r>
          </w:p>
        </w:tc>
      </w:tr>
      <w:tr>
        <w:tc>
          <w:tcPr>
            <w:tcW w:type="dxa" w:w="2880"/>
            <w:tcMar>
              <w:top w:w="100" w:type="dxa"/>
              <w:start w:w="120" w:type="dxa"/>
              <w:bottom w:w="100" w:type="dxa"/>
              <w:end w:w="120" w:type="dxa"/>
            </w:tcMar>
            <w:vAlign w:val="center"/>
            <w:shd w:fill="D9EAF7"/>
          </w:tcPr>
          <w:p>
            <w:pPr>
              <w:pStyle w:val="CalloutSS"/>
            </w:pPr>
            <w:r>
              <w:t>Strategic decision</w:t>
            </w:r>
          </w:p>
        </w:tc>
        <w:tc>
          <w:tcPr>
            <w:tcW w:type="dxa" w:w="6048"/>
            <w:tcMar>
              <w:top w:w="100" w:type="dxa"/>
              <w:start w:w="120" w:type="dxa"/>
              <w:bottom w:w="100" w:type="dxa"/>
              <w:end w:w="120" w:type="dxa"/>
            </w:tcMar>
            <w:vAlign w:val="center"/>
            <w:shd w:fill="F8FBFE"/>
          </w:tcPr>
          <w:p>
            <w:pPr>
              <w:pStyle w:val="BodySS"/>
            </w:pPr>
            <w:r>
              <w:t>Use guided AI and assessment-linked intelligence inside the LMS, while keeping the full psychometric and 360 assessment centre as a separate integrated engine.</w:t>
            </w:r>
          </w:p>
        </w:tc>
      </w:tr>
    </w:tbl>
    <w:p>
      <w:r>
        <w:br w:type="page"/>
      </w:r>
    </w:p>
    <w:p>
      <w:pPr>
        <w:pStyle w:val="SectionSS"/>
        <w:spacing w:before="0" w:after="160" w:line="276" w:lineRule="auto"/>
      </w:pPr>
      <w:r>
        <w:t>6.1 Overview chart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584"/>
            <w:shd w:fill="1F4E79"/>
            <w:vAlign w:val="center"/>
          </w:tcPr>
          <w:p>
            <w:pPr>
              <w:pStyle w:val="TableHeadSS"/>
              <w:jc w:val="center"/>
            </w:pPr>
            <w:r>
              <w:t>Layer</w:t>
            </w:r>
          </w:p>
        </w:tc>
        <w:tc>
          <w:tcPr>
            <w:tcW w:type="dxa" w:w="2736"/>
            <w:shd w:fill="1F4E79"/>
            <w:vAlign w:val="center"/>
          </w:tcPr>
          <w:p>
            <w:pPr>
              <w:pStyle w:val="TableHeadSS"/>
              <w:jc w:val="center"/>
            </w:pPr>
            <w:r>
              <w:t>Function</w:t>
            </w:r>
          </w:p>
        </w:tc>
        <w:tc>
          <w:tcPr>
            <w:tcW w:type="dxa" w:w="1944"/>
            <w:shd w:fill="1F4E79"/>
            <w:vAlign w:val="center"/>
          </w:tcPr>
          <w:p>
            <w:pPr>
              <w:pStyle w:val="TableHeadSS"/>
              <w:jc w:val="center"/>
            </w:pPr>
            <w:r>
              <w:t>Primary users</w:t>
            </w:r>
          </w:p>
        </w:tc>
        <w:tc>
          <w:tcPr>
            <w:tcW w:type="dxa" w:w="1944"/>
            <w:shd w:fill="1F4E79"/>
            <w:vAlign w:val="center"/>
          </w:tcPr>
          <w:p>
            <w:pPr>
              <w:pStyle w:val="TableHeadSS"/>
              <w:jc w:val="center"/>
            </w:pPr>
            <w:r>
              <w:t>Bubble vs external</w:t>
            </w:r>
          </w:p>
        </w:tc>
        <w:tc>
          <w:tcPr>
            <w:tcW w:type="dxa" w:w="2448"/>
            <w:shd w:fill="1F4E79"/>
            <w:vAlign w:val="center"/>
          </w:tcPr>
          <w:p>
            <w:pPr>
              <w:pStyle w:val="TableHeadSS"/>
              <w:jc w:val="center"/>
            </w:pPr>
            <w:r>
              <w:t>2030 design note</w:t>
            </w:r>
          </w:p>
        </w:tc>
      </w:tr>
      <w:tr>
        <w:tc>
          <w:tcPr>
            <w:tcW w:type="dxa" w:w="1584"/>
            <w:tcMar>
              <w:top w:w="110" w:type="dxa"/>
              <w:start w:w="110" w:type="dxa"/>
              <w:bottom w:w="110" w:type="dxa"/>
              <w:end w:w="110" w:type="dxa"/>
            </w:tcMar>
            <w:vAlign w:val="center"/>
            <w:shd w:fill="EAF3FA"/>
          </w:tcPr>
          <w:p>
            <w:pPr>
              <w:pStyle w:val="BodySS"/>
              <w:jc w:val="center"/>
            </w:pPr>
            <w:r>
              <w:t>Guided AI UX</w:t>
            </w:r>
          </w:p>
        </w:tc>
        <w:tc>
          <w:tcPr>
            <w:tcW w:type="dxa" w:w="2736"/>
            <w:tcMar>
              <w:top w:w="110" w:type="dxa"/>
              <w:start w:w="110" w:type="dxa"/>
              <w:bottom w:w="110" w:type="dxa"/>
              <w:end w:w="110" w:type="dxa"/>
            </w:tcMar>
            <w:vAlign w:val="center"/>
          </w:tcPr>
          <w:p>
            <w:pPr>
              <w:pStyle w:val="BodySS"/>
              <w:jc w:val="left"/>
            </w:pPr>
            <w:r>
              <w:t>Structured prompts, dropdown questions, role and challenge selectors</w:t>
            </w:r>
          </w:p>
        </w:tc>
        <w:tc>
          <w:tcPr>
            <w:tcW w:type="dxa" w:w="1944"/>
            <w:tcMar>
              <w:top w:w="110" w:type="dxa"/>
              <w:start w:w="110" w:type="dxa"/>
              <w:bottom w:w="110" w:type="dxa"/>
              <w:end w:w="110" w:type="dxa"/>
            </w:tcMar>
            <w:vAlign w:val="center"/>
          </w:tcPr>
          <w:p>
            <w:pPr>
              <w:pStyle w:val="BodySS"/>
              <w:jc w:val="center"/>
            </w:pPr>
            <w:r>
              <w:t>Client admins, managers, learners</w:t>
            </w:r>
          </w:p>
        </w:tc>
        <w:tc>
          <w:tcPr>
            <w:tcW w:type="dxa" w:w="1944"/>
            <w:tcMar>
              <w:top w:w="110" w:type="dxa"/>
              <w:start w:w="110" w:type="dxa"/>
              <w:bottom w:w="110" w:type="dxa"/>
              <w:end w:w="110" w:type="dxa"/>
            </w:tcMar>
            <w:vAlign w:val="center"/>
          </w:tcPr>
          <w:p>
            <w:pPr>
              <w:pStyle w:val="BodySS"/>
              <w:jc w:val="center"/>
            </w:pPr>
            <w:r>
              <w:t>Bubble UI + AI API</w:t>
            </w:r>
          </w:p>
        </w:tc>
        <w:tc>
          <w:tcPr>
            <w:tcW w:type="dxa" w:w="2448"/>
            <w:tcMar>
              <w:top w:w="110" w:type="dxa"/>
              <w:start w:w="110" w:type="dxa"/>
              <w:bottom w:w="110" w:type="dxa"/>
              <w:end w:w="110" w:type="dxa"/>
            </w:tcMar>
            <w:vAlign w:val="center"/>
          </w:tcPr>
          <w:p>
            <w:pPr>
              <w:pStyle w:val="BodySS"/>
              <w:jc w:val="left"/>
            </w:pPr>
            <w:r>
              <w:t>Keep users in guardrails; avoid blank chat-first experience.</w:t>
            </w:r>
          </w:p>
        </w:tc>
      </w:tr>
      <w:tr>
        <w:tc>
          <w:tcPr>
            <w:tcW w:type="dxa" w:w="1584"/>
            <w:tcMar>
              <w:top w:w="110" w:type="dxa"/>
              <w:start w:w="110" w:type="dxa"/>
              <w:bottom w:w="110" w:type="dxa"/>
              <w:end w:w="110" w:type="dxa"/>
            </w:tcMar>
            <w:vAlign w:val="center"/>
            <w:shd w:fill="EAF3FA"/>
          </w:tcPr>
          <w:p>
            <w:pPr>
              <w:pStyle w:val="BodySS"/>
              <w:jc w:val="center"/>
            </w:pPr>
            <w:r>
              <w:t>Content intelligence</w:t>
            </w:r>
          </w:p>
        </w:tc>
        <w:tc>
          <w:tcPr>
            <w:tcW w:type="dxa" w:w="2736"/>
            <w:tcMar>
              <w:top w:w="110" w:type="dxa"/>
              <w:start w:w="110" w:type="dxa"/>
              <w:bottom w:w="110" w:type="dxa"/>
              <w:end w:w="110" w:type="dxa"/>
            </w:tcMar>
            <w:vAlign w:val="center"/>
          </w:tcPr>
          <w:p>
            <w:pPr>
              <w:pStyle w:val="BodySS"/>
              <w:jc w:val="left"/>
            </w:pPr>
            <w:r>
              <w:t>Summaries, quizzes, flashcards, follow-up materials, facilitator notes</w:t>
            </w:r>
          </w:p>
        </w:tc>
        <w:tc>
          <w:tcPr>
            <w:tcW w:type="dxa" w:w="1944"/>
            <w:tcMar>
              <w:top w:w="110" w:type="dxa"/>
              <w:start w:w="110" w:type="dxa"/>
              <w:bottom w:w="110" w:type="dxa"/>
              <w:end w:w="110" w:type="dxa"/>
            </w:tcMar>
            <w:vAlign w:val="center"/>
          </w:tcPr>
          <w:p>
            <w:pPr>
              <w:pStyle w:val="BodySS"/>
              <w:jc w:val="center"/>
            </w:pPr>
            <w:r>
              <w:t>Content admins, facilitators, learners</w:t>
            </w:r>
          </w:p>
        </w:tc>
        <w:tc>
          <w:tcPr>
            <w:tcW w:type="dxa" w:w="1944"/>
            <w:tcMar>
              <w:top w:w="110" w:type="dxa"/>
              <w:start w:w="110" w:type="dxa"/>
              <w:bottom w:w="110" w:type="dxa"/>
              <w:end w:w="110" w:type="dxa"/>
            </w:tcMar>
            <w:vAlign w:val="center"/>
          </w:tcPr>
          <w:p>
            <w:pPr>
              <w:pStyle w:val="BodySS"/>
              <w:jc w:val="center"/>
            </w:pPr>
            <w:r>
              <w:t>AI API + Bubble workflows</w:t>
            </w:r>
          </w:p>
        </w:tc>
        <w:tc>
          <w:tcPr>
            <w:tcW w:type="dxa" w:w="2448"/>
            <w:tcMar>
              <w:top w:w="110" w:type="dxa"/>
              <w:start w:w="110" w:type="dxa"/>
              <w:bottom w:w="110" w:type="dxa"/>
              <w:end w:w="110" w:type="dxa"/>
            </w:tcMar>
            <w:vAlign w:val="center"/>
          </w:tcPr>
          <w:p>
            <w:pPr>
              <w:pStyle w:val="BodySS"/>
              <w:jc w:val="left"/>
            </w:pPr>
            <w:r>
              <w:t>AI reduces manual content ops and accelerates rollout.</w:t>
            </w:r>
          </w:p>
        </w:tc>
      </w:tr>
      <w:tr>
        <w:tc>
          <w:tcPr>
            <w:tcW w:type="dxa" w:w="1584"/>
            <w:tcMar>
              <w:top w:w="110" w:type="dxa"/>
              <w:start w:w="110" w:type="dxa"/>
              <w:bottom w:w="110" w:type="dxa"/>
              <w:end w:w="110" w:type="dxa"/>
            </w:tcMar>
            <w:vAlign w:val="center"/>
            <w:shd w:fill="EAF3FA"/>
          </w:tcPr>
          <w:p>
            <w:pPr>
              <w:pStyle w:val="BodySS"/>
              <w:jc w:val="center"/>
            </w:pPr>
            <w:r>
              <w:t>Assessment insight engine</w:t>
            </w:r>
          </w:p>
        </w:tc>
        <w:tc>
          <w:tcPr>
            <w:tcW w:type="dxa" w:w="2736"/>
            <w:tcMar>
              <w:top w:w="110" w:type="dxa"/>
              <w:start w:w="110" w:type="dxa"/>
              <w:bottom w:w="110" w:type="dxa"/>
              <w:end w:w="110" w:type="dxa"/>
            </w:tcMar>
            <w:vAlign w:val="center"/>
          </w:tcPr>
          <w:p>
            <w:pPr>
              <w:pStyle w:val="BodySS"/>
              <w:jc w:val="left"/>
            </w:pPr>
            <w:r>
              <w:t>Interpret uploaded assessment outputs and return role-based recommendations</w:t>
            </w:r>
          </w:p>
        </w:tc>
        <w:tc>
          <w:tcPr>
            <w:tcW w:type="dxa" w:w="1944"/>
            <w:tcMar>
              <w:top w:w="110" w:type="dxa"/>
              <w:start w:w="110" w:type="dxa"/>
              <w:bottom w:w="110" w:type="dxa"/>
              <w:end w:w="110" w:type="dxa"/>
            </w:tcMar>
            <w:vAlign w:val="center"/>
          </w:tcPr>
          <w:p>
            <w:pPr>
              <w:pStyle w:val="BodySS"/>
              <w:jc w:val="center"/>
            </w:pPr>
            <w:r>
              <w:t>Client admins, consultants</w:t>
            </w:r>
          </w:p>
        </w:tc>
        <w:tc>
          <w:tcPr>
            <w:tcW w:type="dxa" w:w="1944"/>
            <w:tcMar>
              <w:top w:w="110" w:type="dxa"/>
              <w:start w:w="110" w:type="dxa"/>
              <w:bottom w:w="110" w:type="dxa"/>
              <w:end w:w="110" w:type="dxa"/>
            </w:tcMar>
            <w:vAlign w:val="center"/>
          </w:tcPr>
          <w:p>
            <w:pPr>
              <w:pStyle w:val="BodySS"/>
              <w:jc w:val="center"/>
            </w:pPr>
            <w:r>
              <w:t>Bubble + AI API + storage</w:t>
            </w:r>
          </w:p>
        </w:tc>
        <w:tc>
          <w:tcPr>
            <w:tcW w:type="dxa" w:w="2448"/>
            <w:tcMar>
              <w:top w:w="110" w:type="dxa"/>
              <w:start w:w="110" w:type="dxa"/>
              <w:bottom w:w="110" w:type="dxa"/>
              <w:end w:w="110" w:type="dxa"/>
            </w:tcMar>
            <w:vAlign w:val="center"/>
          </w:tcPr>
          <w:p>
            <w:pPr>
              <w:pStyle w:val="BodySS"/>
              <w:jc w:val="left"/>
            </w:pPr>
            <w:r>
              <w:t>Supports consulting-grade follow-through without turning LMS into a psychometric engine.</w:t>
            </w:r>
          </w:p>
        </w:tc>
      </w:tr>
      <w:tr>
        <w:tc>
          <w:tcPr>
            <w:tcW w:type="dxa" w:w="1584"/>
            <w:tcMar>
              <w:top w:w="110" w:type="dxa"/>
              <w:start w:w="110" w:type="dxa"/>
              <w:bottom w:w="110" w:type="dxa"/>
              <w:end w:w="110" w:type="dxa"/>
            </w:tcMar>
            <w:vAlign w:val="center"/>
            <w:shd w:fill="EAF3FA"/>
          </w:tcPr>
          <w:p>
            <w:pPr>
              <w:pStyle w:val="BodySS"/>
              <w:jc w:val="center"/>
            </w:pPr>
            <w:r>
              <w:t>Internal enablement copilot</w:t>
            </w:r>
          </w:p>
        </w:tc>
        <w:tc>
          <w:tcPr>
            <w:tcW w:type="dxa" w:w="2736"/>
            <w:tcMar>
              <w:top w:w="110" w:type="dxa"/>
              <w:start w:w="110" w:type="dxa"/>
              <w:bottom w:w="110" w:type="dxa"/>
              <w:end w:w="110" w:type="dxa"/>
            </w:tcMar>
            <w:vAlign w:val="center"/>
          </w:tcPr>
          <w:p>
            <w:pPr>
              <w:pStyle w:val="BodySS"/>
              <w:jc w:val="left"/>
            </w:pPr>
            <w:r>
              <w:t>Sales prep, pitch support, product understanding, coaching prompts</w:t>
            </w:r>
          </w:p>
        </w:tc>
        <w:tc>
          <w:tcPr>
            <w:tcW w:type="dxa" w:w="1944"/>
            <w:tcMar>
              <w:top w:w="110" w:type="dxa"/>
              <w:start w:w="110" w:type="dxa"/>
              <w:bottom w:w="110" w:type="dxa"/>
              <w:end w:w="110" w:type="dxa"/>
            </w:tcMar>
            <w:vAlign w:val="center"/>
          </w:tcPr>
          <w:p>
            <w:pPr>
              <w:pStyle w:val="BodySS"/>
              <w:jc w:val="center"/>
            </w:pPr>
            <w:r>
              <w:t>Strengthscape internal teams</w:t>
            </w:r>
          </w:p>
        </w:tc>
        <w:tc>
          <w:tcPr>
            <w:tcW w:type="dxa" w:w="1944"/>
            <w:tcMar>
              <w:top w:w="110" w:type="dxa"/>
              <w:start w:w="110" w:type="dxa"/>
              <w:bottom w:w="110" w:type="dxa"/>
              <w:end w:w="110" w:type="dxa"/>
            </w:tcMar>
            <w:vAlign w:val="center"/>
          </w:tcPr>
          <w:p>
            <w:pPr>
              <w:pStyle w:val="BodySS"/>
              <w:jc w:val="center"/>
            </w:pPr>
            <w:r>
              <w:t>Bubble + AI API</w:t>
            </w:r>
          </w:p>
        </w:tc>
        <w:tc>
          <w:tcPr>
            <w:tcW w:type="dxa" w:w="2448"/>
            <w:tcMar>
              <w:top w:w="110" w:type="dxa"/>
              <w:start w:w="110" w:type="dxa"/>
              <w:bottom w:w="110" w:type="dxa"/>
              <w:end w:w="110" w:type="dxa"/>
            </w:tcMar>
            <w:vAlign w:val="center"/>
          </w:tcPr>
          <w:p>
            <w:pPr>
              <w:pStyle w:val="BodySS"/>
              <w:jc w:val="left"/>
            </w:pPr>
            <w:r>
              <w:t>Edge should improve both client learning and internal execution quality.</w:t>
            </w:r>
          </w:p>
        </w:tc>
      </w:tr>
      <w:tr>
        <w:tc>
          <w:tcPr>
            <w:tcW w:type="dxa" w:w="1584"/>
            <w:tcMar>
              <w:top w:w="110" w:type="dxa"/>
              <w:start w:w="110" w:type="dxa"/>
              <w:bottom w:w="110" w:type="dxa"/>
              <w:end w:w="110" w:type="dxa"/>
            </w:tcMar>
            <w:vAlign w:val="center"/>
            <w:shd w:fill="EAF3FA"/>
          </w:tcPr>
          <w:p>
            <w:pPr>
              <w:pStyle w:val="BodySS"/>
              <w:jc w:val="center"/>
            </w:pPr>
            <w:r>
              <w:t>Governance layer</w:t>
            </w:r>
          </w:p>
        </w:tc>
        <w:tc>
          <w:tcPr>
            <w:tcW w:type="dxa" w:w="2736"/>
            <w:tcMar>
              <w:top w:w="110" w:type="dxa"/>
              <w:start w:w="110" w:type="dxa"/>
              <w:bottom w:w="110" w:type="dxa"/>
              <w:end w:w="110" w:type="dxa"/>
            </w:tcMar>
            <w:vAlign w:val="center"/>
          </w:tcPr>
          <w:p>
            <w:pPr>
              <w:pStyle w:val="BodySS"/>
              <w:jc w:val="left"/>
            </w:pPr>
            <w:r>
              <w:t>Prompt templates, model routing, approvals, audit logging, red flags</w:t>
            </w:r>
          </w:p>
        </w:tc>
        <w:tc>
          <w:tcPr>
            <w:tcW w:type="dxa" w:w="1944"/>
            <w:tcMar>
              <w:top w:w="110" w:type="dxa"/>
              <w:start w:w="110" w:type="dxa"/>
              <w:bottom w:w="110" w:type="dxa"/>
              <w:end w:w="110" w:type="dxa"/>
            </w:tcMar>
            <w:vAlign w:val="center"/>
          </w:tcPr>
          <w:p>
            <w:pPr>
              <w:pStyle w:val="BodySS"/>
              <w:jc w:val="center"/>
            </w:pPr>
            <w:r>
              <w:t>Super admins, content admins</w:t>
            </w:r>
          </w:p>
        </w:tc>
        <w:tc>
          <w:tcPr>
            <w:tcW w:type="dxa" w:w="1944"/>
            <w:tcMar>
              <w:top w:w="110" w:type="dxa"/>
              <w:start w:w="110" w:type="dxa"/>
              <w:bottom w:w="110" w:type="dxa"/>
              <w:end w:w="110" w:type="dxa"/>
            </w:tcMar>
            <w:vAlign w:val="center"/>
          </w:tcPr>
          <w:p>
            <w:pPr>
              <w:pStyle w:val="BodySS"/>
              <w:jc w:val="center"/>
            </w:pPr>
            <w:r>
              <w:t>Bubble data + backend workflows</w:t>
            </w:r>
          </w:p>
        </w:tc>
        <w:tc>
          <w:tcPr>
            <w:tcW w:type="dxa" w:w="2448"/>
            <w:tcMar>
              <w:top w:w="110" w:type="dxa"/>
              <w:start w:w="110" w:type="dxa"/>
              <w:bottom w:w="110" w:type="dxa"/>
              <w:end w:w="110" w:type="dxa"/>
            </w:tcMar>
            <w:vAlign w:val="center"/>
          </w:tcPr>
          <w:p>
            <w:pPr>
              <w:pStyle w:val="BodySS"/>
              <w:jc w:val="left"/>
            </w:pPr>
            <w:r>
              <w:t>AI must be configurable, reviewable, and measurable.</w:t>
            </w:r>
          </w:p>
        </w:tc>
      </w:tr>
    </w:tbl>
    <w:p>
      <w:pPr>
        <w:pStyle w:val="SectionSS"/>
        <w:spacing w:before="200" w:after="80" w:line="276" w:lineRule="auto"/>
      </w:pPr>
      <w:r>
        <w:t>6.2 Why this chapter matters</w:t>
      </w:r>
    </w:p>
    <w:p>
      <w:pPr>
        <w:pStyle w:val="BodySS"/>
        <w:spacing w:before="0" w:after="100" w:line="276" w:lineRule="auto"/>
      </w:pPr>
      <w:r>
        <w:t>If Chapter 5 defined the operational workflows of Edge LMS, Chapter 6 defines the intelligence layer that makes the platform materially more valuable than a standard course portal. The goal is not to bolt a chatbot onto the side of the LMS, but to build a controlled and purposeful intelligence system that improves learning, implementation, consulting, and internal commercial execution.</w:t>
      </w:r>
    </w:p>
    <w:p>
      <w:pPr>
        <w:pStyle w:val="BodySS"/>
        <w:spacing w:before="0" w:after="100" w:line="276" w:lineRule="auto"/>
      </w:pPr>
      <w:r>
        <w:t>By 2030, the most valuable learning platforms will be those that help users move from content consumption to action. For Strengthscape, that means the LMS must answer practical questions, create role-based outputs, interpret uploaded assessment artifacts, generate follow-through material, and support long-term culture journeys with much less manual effort from facilitators and consultants.</w:t>
      </w:r>
    </w:p>
    <w:p>
      <w:pPr>
        <w:pStyle w:val="BodySS"/>
        <w:spacing w:before="0" w:after="40" w:line="276" w:lineRule="auto"/>
        <w:ind w:left="360" w:hanging="216"/>
      </w:pPr>
      <w:r>
        <w:t>• Use AI to reduce manual content operations.</w:t>
      </w:r>
    </w:p>
    <w:p>
      <w:pPr>
        <w:pStyle w:val="BodySS"/>
        <w:spacing w:before="0" w:after="40" w:line="276" w:lineRule="auto"/>
        <w:ind w:left="360" w:hanging="216"/>
      </w:pPr>
      <w:r>
        <w:t>• Use AI to improve application and follow-through, not just content explanation.</w:t>
      </w:r>
    </w:p>
    <w:p>
      <w:pPr>
        <w:pStyle w:val="BodySS"/>
        <w:spacing w:before="0" w:after="40" w:line="276" w:lineRule="auto"/>
        <w:ind w:left="360" w:hanging="216"/>
      </w:pPr>
      <w:r>
        <w:t>• Keep learner-facing AI simple and guided.</w:t>
      </w:r>
    </w:p>
    <w:p>
      <w:pPr>
        <w:pStyle w:val="BodySS"/>
        <w:spacing w:before="0" w:after="40" w:line="276" w:lineRule="auto"/>
        <w:ind w:left="360" w:hanging="216"/>
      </w:pPr>
      <w:r>
        <w:t>• Keep admin-facing AI configurable and auditable.</w:t>
      </w:r>
    </w:p>
    <w:p>
      <w:pPr>
        <w:pStyle w:val="BodySS"/>
        <w:spacing w:before="0" w:after="40" w:line="276" w:lineRule="auto"/>
        <w:ind w:left="360" w:hanging="216"/>
      </w:pPr>
      <w:r>
        <w:t>• Preserve a clean boundary between LMS intelligence and the separate assessment centre.</w:t>
      </w:r>
    </w:p>
    <w:p>
      <w:pPr>
        <w:pStyle w:val="SectionSS"/>
        <w:spacing w:before="200" w:after="80" w:line="276" w:lineRule="auto"/>
      </w:pPr>
      <w:r>
        <w:t>6.3 AI design philosophy for Edge LMS</w:t>
      </w:r>
    </w:p>
    <w:p>
      <w:pPr>
        <w:pStyle w:val="BodySS"/>
        <w:spacing w:before="0" w:after="100" w:line="276" w:lineRule="auto"/>
      </w:pPr>
      <w:r>
        <w:t>The system must be designed around guided intelligence rather than open exploration. Blank prompt boxes look powerful but usually lead to inconsistent answers, irrelevant output, and poor user confidence. Edge should instead use role selectors, challenge selectors, standard dropdown questions, context-aware prompts, and output templates.</w:t>
      </w:r>
    </w:p>
    <w:p>
      <w:pPr>
        <w:pStyle w:val="BodySS"/>
        <w:spacing w:before="0" w:after="100" w:line="276" w:lineRule="auto"/>
      </w:pPr>
      <w:r>
        <w:t>This philosophy aligns with Strengthscape’s consulting model. The platform should behave like a disciplined digital consultant: asking for the right context, interpreting structured inputs, and returning business-usable outputs rather than generic text.</w:t>
      </w:r>
    </w:p>
    <w:tbl>
      <w:tblPr>
        <w:tblStyle w:val="TableGrid"/>
        <w:tblW w:type="auto" w:w="0"/>
        <w:jc w:val="center"/>
        <w:tblLook w:firstColumn="1" w:firstRow="1" w:lastColumn="0" w:lastRow="0" w:noHBand="0" w:noVBand="1" w:val="04A0"/>
      </w:tblPr>
      <w:tblGrid>
        <w:gridCol w:w="3312"/>
        <w:gridCol w:w="3312"/>
        <w:gridCol w:w="3312"/>
      </w:tblGrid>
      <w:tr>
        <w:tc>
          <w:tcPr>
            <w:tcW w:type="dxa" w:w="2088"/>
            <w:shd w:fill="2F5597"/>
            <w:vAlign w:val="center"/>
          </w:tcPr>
          <w:p>
            <w:pPr>
              <w:pStyle w:val="TableHeadSS"/>
              <w:jc w:val="center"/>
            </w:pPr>
            <w:r>
              <w:t>Principle</w:t>
            </w:r>
          </w:p>
        </w:tc>
        <w:tc>
          <w:tcPr>
            <w:tcW w:type="dxa" w:w="4896"/>
            <w:shd w:fill="2F5597"/>
            <w:vAlign w:val="center"/>
          </w:tcPr>
          <w:p>
            <w:pPr>
              <w:pStyle w:val="TableHeadSS"/>
              <w:jc w:val="center"/>
            </w:pPr>
            <w:r>
              <w:t>What it means in build terms</w:t>
            </w:r>
          </w:p>
        </w:tc>
        <w:tc>
          <w:tcPr>
            <w:tcW w:type="dxa" w:w="2232"/>
            <w:shd w:fill="2F5597"/>
            <w:vAlign w:val="center"/>
          </w:tcPr>
          <w:p>
            <w:pPr>
              <w:pStyle w:val="TableHeadSS"/>
              <w:jc w:val="center"/>
            </w:pPr>
            <w:r>
              <w:t>Bubble implementation note</w:t>
            </w:r>
          </w:p>
        </w:tc>
      </w:tr>
      <w:tr>
        <w:tc>
          <w:tcPr>
            <w:tcW w:type="dxa" w:w="2088"/>
            <w:tcMar>
              <w:top w:w="100" w:type="dxa"/>
              <w:start w:w="100" w:type="dxa"/>
              <w:bottom w:w="100" w:type="dxa"/>
              <w:end w:w="100" w:type="dxa"/>
            </w:tcMar>
            <w:vAlign w:val="center"/>
            <w:shd w:fill="EEF4FB"/>
          </w:tcPr>
          <w:p>
            <w:pPr>
              <w:pStyle w:val="BodySS"/>
              <w:jc w:val="center"/>
            </w:pPr>
            <w:r>
              <w:t>Guided over open</w:t>
            </w:r>
          </w:p>
        </w:tc>
        <w:tc>
          <w:tcPr>
            <w:tcW w:type="dxa" w:w="4896"/>
            <w:tcMar>
              <w:top w:w="100" w:type="dxa"/>
              <w:start w:w="100" w:type="dxa"/>
              <w:bottom w:w="100" w:type="dxa"/>
              <w:end w:w="100" w:type="dxa"/>
            </w:tcMar>
            <w:vAlign w:val="center"/>
          </w:tcPr>
          <w:p>
            <w:pPr>
              <w:pStyle w:val="BodySS"/>
              <w:jc w:val="left"/>
            </w:pPr>
            <w:r>
              <w:t>Default to standard question sets, role pickers, challenge pickers, and structured output blocks.</w:t>
            </w:r>
          </w:p>
        </w:tc>
        <w:tc>
          <w:tcPr>
            <w:tcW w:type="dxa" w:w="2232"/>
            <w:tcMar>
              <w:top w:w="100" w:type="dxa"/>
              <w:start w:w="100" w:type="dxa"/>
              <w:bottom w:w="100" w:type="dxa"/>
              <w:end w:w="100" w:type="dxa"/>
            </w:tcMar>
            <w:vAlign w:val="center"/>
          </w:tcPr>
          <w:p>
            <w:pPr>
              <w:pStyle w:val="BodySS"/>
              <w:jc w:val="left"/>
            </w:pPr>
            <w:r>
              <w:t>Use reusable popup/component for AI request UI.</w:t>
            </w:r>
          </w:p>
        </w:tc>
      </w:tr>
      <w:tr>
        <w:tc>
          <w:tcPr>
            <w:tcW w:type="dxa" w:w="2088"/>
            <w:tcMar>
              <w:top w:w="100" w:type="dxa"/>
              <w:start w:w="100" w:type="dxa"/>
              <w:bottom w:w="100" w:type="dxa"/>
              <w:end w:w="100" w:type="dxa"/>
            </w:tcMar>
            <w:vAlign w:val="center"/>
            <w:shd w:fill="EEF4FB"/>
          </w:tcPr>
          <w:p>
            <w:pPr>
              <w:pStyle w:val="BodySS"/>
              <w:jc w:val="left"/>
            </w:pPr>
            <w:r>
              <w:t>Explain less, apply more</w:t>
            </w:r>
          </w:p>
        </w:tc>
        <w:tc>
          <w:tcPr>
            <w:tcW w:type="dxa" w:w="4896"/>
            <w:tcMar>
              <w:top w:w="100" w:type="dxa"/>
              <w:start w:w="100" w:type="dxa"/>
              <w:bottom w:w="100" w:type="dxa"/>
              <w:end w:w="100" w:type="dxa"/>
            </w:tcMar>
            <w:vAlign w:val="center"/>
          </w:tcPr>
          <w:p>
            <w:pPr>
              <w:pStyle w:val="BodySS"/>
              <w:jc w:val="left"/>
            </w:pPr>
            <w:r>
              <w:t>Answers should emphasise actions, rituals, risks, communication, and next steps.</w:t>
            </w:r>
          </w:p>
        </w:tc>
        <w:tc>
          <w:tcPr>
            <w:tcW w:type="dxa" w:w="2232"/>
            <w:tcMar>
              <w:top w:w="100" w:type="dxa"/>
              <w:start w:w="100" w:type="dxa"/>
              <w:bottom w:w="100" w:type="dxa"/>
              <w:end w:w="100" w:type="dxa"/>
            </w:tcMar>
            <w:vAlign w:val="center"/>
          </w:tcPr>
          <w:p>
            <w:pPr>
              <w:pStyle w:val="BodySS"/>
              <w:jc w:val="left"/>
            </w:pPr>
            <w:r>
              <w:t>Use prompt templates with output schema blocks.</w:t>
            </w:r>
          </w:p>
        </w:tc>
      </w:tr>
      <w:tr>
        <w:tc>
          <w:tcPr>
            <w:tcW w:type="dxa" w:w="2088"/>
            <w:tcMar>
              <w:top w:w="100" w:type="dxa"/>
              <w:start w:w="100" w:type="dxa"/>
              <w:bottom w:w="100" w:type="dxa"/>
              <w:end w:w="100" w:type="dxa"/>
            </w:tcMar>
            <w:vAlign w:val="center"/>
            <w:shd w:fill="EEF4FB"/>
          </w:tcPr>
          <w:p>
            <w:pPr>
              <w:pStyle w:val="BodySS"/>
              <w:jc w:val="center"/>
            </w:pPr>
            <w:r>
              <w:t>Safe by design</w:t>
            </w:r>
          </w:p>
        </w:tc>
        <w:tc>
          <w:tcPr>
            <w:tcW w:type="dxa" w:w="4896"/>
            <w:tcMar>
              <w:top w:w="100" w:type="dxa"/>
              <w:start w:w="100" w:type="dxa"/>
              <w:bottom w:w="100" w:type="dxa"/>
              <w:end w:w="100" w:type="dxa"/>
            </w:tcMar>
            <w:vAlign w:val="center"/>
          </w:tcPr>
          <w:p>
            <w:pPr>
              <w:pStyle w:val="BodySS"/>
              <w:jc w:val="left"/>
            </w:pPr>
            <w:r>
              <w:t>Restrict sensitive use cases, log requests, and moderate certain outputs.</w:t>
            </w:r>
          </w:p>
        </w:tc>
        <w:tc>
          <w:tcPr>
            <w:tcW w:type="dxa" w:w="2232"/>
            <w:tcMar>
              <w:top w:w="100" w:type="dxa"/>
              <w:start w:w="100" w:type="dxa"/>
              <w:bottom w:w="100" w:type="dxa"/>
              <w:end w:w="100" w:type="dxa"/>
            </w:tcMar>
            <w:vAlign w:val="center"/>
          </w:tcPr>
          <w:p>
            <w:pPr>
              <w:pStyle w:val="BodySS"/>
              <w:jc w:val="left"/>
            </w:pPr>
            <w:r>
              <w:t>Store request, model, prompt version, and response metadata.</w:t>
            </w:r>
          </w:p>
        </w:tc>
      </w:tr>
      <w:tr>
        <w:tc>
          <w:tcPr>
            <w:tcW w:type="dxa" w:w="2088"/>
            <w:tcMar>
              <w:top w:w="100" w:type="dxa"/>
              <w:start w:w="100" w:type="dxa"/>
              <w:bottom w:w="100" w:type="dxa"/>
              <w:end w:w="100" w:type="dxa"/>
            </w:tcMar>
            <w:vAlign w:val="center"/>
            <w:shd w:fill="EEF4FB"/>
          </w:tcPr>
          <w:p>
            <w:pPr>
              <w:pStyle w:val="BodySS"/>
              <w:jc w:val="center"/>
            </w:pPr>
            <w:r>
              <w:t>Provider-flexible</w:t>
            </w:r>
          </w:p>
        </w:tc>
        <w:tc>
          <w:tcPr>
            <w:tcW w:type="dxa" w:w="4896"/>
            <w:tcMar>
              <w:top w:w="100" w:type="dxa"/>
              <w:start w:w="100" w:type="dxa"/>
              <w:bottom w:w="100" w:type="dxa"/>
              <w:end w:w="100" w:type="dxa"/>
            </w:tcMar>
            <w:vAlign w:val="center"/>
          </w:tcPr>
          <w:p>
            <w:pPr>
              <w:pStyle w:val="BodySS"/>
              <w:jc w:val="left"/>
            </w:pPr>
            <w:r>
              <w:t>Gemini may be default for some tasks, but routing should remain abstractable.</w:t>
            </w:r>
          </w:p>
        </w:tc>
        <w:tc>
          <w:tcPr>
            <w:tcW w:type="dxa" w:w="2232"/>
            <w:tcMar>
              <w:top w:w="100" w:type="dxa"/>
              <w:start w:w="100" w:type="dxa"/>
              <w:bottom w:w="100" w:type="dxa"/>
              <w:end w:w="100" w:type="dxa"/>
            </w:tcMar>
            <w:vAlign w:val="center"/>
          </w:tcPr>
          <w:p>
            <w:pPr>
              <w:pStyle w:val="BodySS"/>
              <w:jc w:val="left"/>
            </w:pPr>
            <w:r>
              <w:t>Use provider config tables and backend API actions.</w:t>
            </w:r>
          </w:p>
        </w:tc>
      </w:tr>
      <w:tr>
        <w:tc>
          <w:tcPr>
            <w:tcW w:type="dxa" w:w="2088"/>
            <w:tcMar>
              <w:top w:w="100" w:type="dxa"/>
              <w:start w:w="100" w:type="dxa"/>
              <w:bottom w:w="100" w:type="dxa"/>
              <w:end w:w="100" w:type="dxa"/>
            </w:tcMar>
            <w:vAlign w:val="center"/>
            <w:shd w:fill="EEF4FB"/>
          </w:tcPr>
          <w:p>
            <w:pPr>
              <w:pStyle w:val="BodySS"/>
              <w:jc w:val="center"/>
            </w:pPr>
            <w:r>
              <w:t>Human overridable</w:t>
            </w:r>
          </w:p>
        </w:tc>
        <w:tc>
          <w:tcPr>
            <w:tcW w:type="dxa" w:w="4896"/>
            <w:tcMar>
              <w:top w:w="100" w:type="dxa"/>
              <w:start w:w="100" w:type="dxa"/>
              <w:bottom w:w="100" w:type="dxa"/>
              <w:end w:w="100" w:type="dxa"/>
            </w:tcMar>
            <w:vAlign w:val="center"/>
          </w:tcPr>
          <w:p>
            <w:pPr>
              <w:pStyle w:val="BodySS"/>
              <w:jc w:val="left"/>
            </w:pPr>
            <w:r>
              <w:t>Admins and consultants must be able to edit or supplement AI outputs.</w:t>
            </w:r>
          </w:p>
        </w:tc>
        <w:tc>
          <w:tcPr>
            <w:tcW w:type="dxa" w:w="2232"/>
            <w:tcMar>
              <w:top w:w="100" w:type="dxa"/>
              <w:start w:w="100" w:type="dxa"/>
              <w:bottom w:w="100" w:type="dxa"/>
              <w:end w:w="100" w:type="dxa"/>
            </w:tcMar>
            <w:vAlign w:val="center"/>
          </w:tcPr>
          <w:p>
            <w:pPr>
              <w:pStyle w:val="BodySS"/>
              <w:jc w:val="left"/>
            </w:pPr>
            <w:r>
              <w:t>Save generated results as editable records, not transient text only.</w:t>
            </w:r>
          </w:p>
        </w:tc>
      </w:tr>
    </w:tbl>
    <w:p>
      <w:pPr>
        <w:pStyle w:val="SectionSS"/>
        <w:spacing w:before="200" w:after="80" w:line="276" w:lineRule="auto"/>
      </w:pPr>
      <w:r>
        <w:t>6.4 Intelligence use-case map</w:t>
      </w:r>
    </w:p>
    <w:p>
      <w:pPr>
        <w:pStyle w:val="BodySS"/>
        <w:spacing w:before="0" w:after="100" w:line="276" w:lineRule="auto"/>
      </w:pPr>
      <w:r>
        <w:t>The AI layer should be intentionally divided into use-case families so Devansh can build modularly rather than creating one large undifferentiated assistant. Each family has different inputs, permissions, prompt structures, and success criteria.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04"/>
            <w:shd w:fill="2F5597"/>
            <w:vAlign w:val="center"/>
          </w:tcPr>
          <w:p>
            <w:pPr>
              <w:pStyle w:val="TableHeadSS"/>
              <w:jc w:val="center"/>
            </w:pPr>
            <w:r>
              <w:t>Use-case family</w:t>
            </w:r>
          </w:p>
        </w:tc>
        <w:tc>
          <w:tcPr>
            <w:tcW w:type="dxa" w:w="3600"/>
            <w:shd w:fill="2F5597"/>
            <w:vAlign w:val="center"/>
          </w:tcPr>
          <w:p>
            <w:pPr>
              <w:pStyle w:val="TableHeadSS"/>
              <w:jc w:val="center"/>
            </w:pPr>
            <w:r>
              <w:t>Example outputs</w:t>
            </w:r>
          </w:p>
        </w:tc>
        <w:tc>
          <w:tcPr>
            <w:tcW w:type="dxa" w:w="1800"/>
            <w:shd w:fill="2F5597"/>
            <w:vAlign w:val="center"/>
          </w:tcPr>
          <w:p>
            <w:pPr>
              <w:pStyle w:val="TableHeadSS"/>
              <w:jc w:val="center"/>
            </w:pPr>
            <w:r>
              <w:t>Primary users</w:t>
            </w:r>
          </w:p>
        </w:tc>
        <w:tc>
          <w:tcPr>
            <w:tcW w:type="dxa" w:w="1440"/>
            <w:shd w:fill="2F5597"/>
            <w:vAlign w:val="center"/>
          </w:tcPr>
          <w:p>
            <w:pPr>
              <w:pStyle w:val="TableHeadSS"/>
              <w:jc w:val="center"/>
            </w:pPr>
            <w:r>
              <w:t>Default phase</w:t>
            </w:r>
          </w:p>
        </w:tc>
      </w:tr>
      <w:tr>
        <w:tc>
          <w:tcPr>
            <w:tcW w:type="dxa" w:w="2304"/>
            <w:tcMar>
              <w:top w:w="100" w:type="dxa"/>
              <w:start w:w="100" w:type="dxa"/>
              <w:bottom w:w="100" w:type="dxa"/>
              <w:end w:w="100" w:type="dxa"/>
            </w:tcMar>
            <w:vAlign w:val="center"/>
            <w:shd w:fill="EEF4FB"/>
          </w:tcPr>
          <w:p>
            <w:pPr>
              <w:pStyle w:val="BodySS"/>
              <w:jc w:val="center"/>
            </w:pPr>
            <w:r>
              <w:t>Learner support</w:t>
            </w:r>
          </w:p>
        </w:tc>
        <w:tc>
          <w:tcPr>
            <w:tcW w:type="dxa" w:w="3600"/>
            <w:tcMar>
              <w:top w:w="100" w:type="dxa"/>
              <w:start w:w="100" w:type="dxa"/>
              <w:bottom w:w="100" w:type="dxa"/>
              <w:end w:w="100" w:type="dxa"/>
            </w:tcMar>
            <w:vAlign w:val="center"/>
          </w:tcPr>
          <w:p>
            <w:pPr>
              <w:pStyle w:val="BodySS"/>
              <w:jc w:val="left"/>
            </w:pPr>
            <w:r>
              <w:t>Lesson summary, glossary, key takeaways, quick revision notes</w:t>
            </w:r>
          </w:p>
        </w:tc>
        <w:tc>
          <w:tcPr>
            <w:tcW w:type="dxa" w:w="1800"/>
            <w:tcMar>
              <w:top w:w="100" w:type="dxa"/>
              <w:start w:w="100" w:type="dxa"/>
              <w:bottom w:w="100" w:type="dxa"/>
              <w:end w:w="100" w:type="dxa"/>
            </w:tcMar>
            <w:vAlign w:val="center"/>
          </w:tcPr>
          <w:p>
            <w:pPr>
              <w:pStyle w:val="BodySS"/>
              <w:jc w:val="center"/>
            </w:pPr>
            <w:r>
              <w:t>Learners</w:t>
            </w:r>
          </w:p>
        </w:tc>
        <w:tc>
          <w:tcPr>
            <w:tcW w:type="dxa" w:w="1440"/>
            <w:tcMar>
              <w:top w:w="100" w:type="dxa"/>
              <w:start w:w="100" w:type="dxa"/>
              <w:bottom w:w="100" w:type="dxa"/>
              <w:end w:w="100" w:type="dxa"/>
            </w:tcMar>
            <w:vAlign w:val="center"/>
          </w:tcPr>
          <w:p>
            <w:pPr>
              <w:pStyle w:val="BodySS"/>
              <w:jc w:val="center"/>
            </w:pPr>
            <w:r>
              <w:t>Phase 1</w:t>
            </w:r>
          </w:p>
        </w:tc>
      </w:tr>
      <w:tr>
        <w:tc>
          <w:tcPr>
            <w:tcW w:type="dxa" w:w="2304"/>
            <w:tcMar>
              <w:top w:w="100" w:type="dxa"/>
              <w:start w:w="100" w:type="dxa"/>
              <w:bottom w:w="100" w:type="dxa"/>
              <w:end w:w="100" w:type="dxa"/>
            </w:tcMar>
            <w:vAlign w:val="center"/>
            <w:shd w:fill="EEF4FB"/>
          </w:tcPr>
          <w:p>
            <w:pPr>
              <w:pStyle w:val="BodySS"/>
              <w:jc w:val="center"/>
            </w:pPr>
            <w:r>
              <w:t>Manager application</w:t>
            </w:r>
          </w:p>
        </w:tc>
        <w:tc>
          <w:tcPr>
            <w:tcW w:type="dxa" w:w="3600"/>
            <w:tcMar>
              <w:top w:w="100" w:type="dxa"/>
              <w:start w:w="100" w:type="dxa"/>
              <w:bottom w:w="100" w:type="dxa"/>
              <w:end w:w="100" w:type="dxa"/>
            </w:tcMar>
            <w:vAlign w:val="center"/>
          </w:tcPr>
          <w:p>
            <w:pPr>
              <w:pStyle w:val="BodySS"/>
              <w:jc w:val="left"/>
            </w:pPr>
            <w:r>
              <w:t>Weekly meeting guidance, coaching prompts, 30-day actions</w:t>
            </w:r>
          </w:p>
        </w:tc>
        <w:tc>
          <w:tcPr>
            <w:tcW w:type="dxa" w:w="1800"/>
            <w:tcMar>
              <w:top w:w="100" w:type="dxa"/>
              <w:start w:w="100" w:type="dxa"/>
              <w:bottom w:w="100" w:type="dxa"/>
              <w:end w:w="100" w:type="dxa"/>
            </w:tcMar>
            <w:vAlign w:val="center"/>
          </w:tcPr>
          <w:p>
            <w:pPr>
              <w:pStyle w:val="BodySS"/>
              <w:jc w:val="center"/>
            </w:pPr>
            <w:r>
              <w:t>Managers</w:t>
            </w:r>
          </w:p>
        </w:tc>
        <w:tc>
          <w:tcPr>
            <w:tcW w:type="dxa" w:w="1440"/>
            <w:tcMar>
              <w:top w:w="100" w:type="dxa"/>
              <w:start w:w="100" w:type="dxa"/>
              <w:bottom w:w="100" w:type="dxa"/>
              <w:end w:w="100" w:type="dxa"/>
            </w:tcMar>
            <w:vAlign w:val="center"/>
          </w:tcPr>
          <w:p>
            <w:pPr>
              <w:pStyle w:val="BodySS"/>
              <w:jc w:val="center"/>
            </w:pPr>
            <w:r>
              <w:t>Phase 2</w:t>
            </w:r>
          </w:p>
        </w:tc>
      </w:tr>
      <w:tr>
        <w:tc>
          <w:tcPr>
            <w:tcW w:type="dxa" w:w="2304"/>
            <w:tcMar>
              <w:top w:w="100" w:type="dxa"/>
              <w:start w:w="100" w:type="dxa"/>
              <w:bottom w:w="100" w:type="dxa"/>
              <w:end w:w="100" w:type="dxa"/>
            </w:tcMar>
            <w:vAlign w:val="center"/>
            <w:shd w:fill="EEF4FB"/>
          </w:tcPr>
          <w:p>
            <w:pPr>
              <w:pStyle w:val="BodySS"/>
              <w:jc w:val="center"/>
            </w:pPr>
            <w:r>
              <w:t>Assessment insight</w:t>
            </w:r>
          </w:p>
        </w:tc>
        <w:tc>
          <w:tcPr>
            <w:tcW w:type="dxa" w:w="3600"/>
            <w:tcMar>
              <w:top w:w="100" w:type="dxa"/>
              <w:start w:w="100" w:type="dxa"/>
              <w:bottom w:w="100" w:type="dxa"/>
              <w:end w:w="100" w:type="dxa"/>
            </w:tcMar>
            <w:vAlign w:val="center"/>
          </w:tcPr>
          <w:p>
            <w:pPr>
              <w:pStyle w:val="BodySS"/>
              <w:jc w:val="left"/>
            </w:pPr>
            <w:r>
              <w:t>Rituals, risk watchouts, communication advice, 90-day actions</w:t>
            </w:r>
          </w:p>
        </w:tc>
        <w:tc>
          <w:tcPr>
            <w:tcW w:type="dxa" w:w="1800"/>
            <w:tcMar>
              <w:top w:w="100" w:type="dxa"/>
              <w:start w:w="100" w:type="dxa"/>
              <w:bottom w:w="100" w:type="dxa"/>
              <w:end w:w="100" w:type="dxa"/>
            </w:tcMar>
            <w:vAlign w:val="center"/>
          </w:tcPr>
          <w:p>
            <w:pPr>
              <w:pStyle w:val="BodySS"/>
              <w:jc w:val="left"/>
            </w:pPr>
            <w:r>
              <w:t>Client admins, consultants</w:t>
            </w:r>
          </w:p>
        </w:tc>
        <w:tc>
          <w:tcPr>
            <w:tcW w:type="dxa" w:w="1440"/>
            <w:tcMar>
              <w:top w:w="100" w:type="dxa"/>
              <w:start w:w="100" w:type="dxa"/>
              <w:bottom w:w="100" w:type="dxa"/>
              <w:end w:w="100" w:type="dxa"/>
            </w:tcMar>
            <w:vAlign w:val="center"/>
          </w:tcPr>
          <w:p>
            <w:pPr>
              <w:pStyle w:val="BodySS"/>
              <w:jc w:val="center"/>
            </w:pPr>
            <w:r>
              <w:t>Phase 1</w:t>
            </w:r>
          </w:p>
        </w:tc>
      </w:tr>
      <w:tr>
        <w:tc>
          <w:tcPr>
            <w:tcW w:type="dxa" w:w="2304"/>
            <w:tcMar>
              <w:top w:w="100" w:type="dxa"/>
              <w:start w:w="100" w:type="dxa"/>
              <w:bottom w:w="100" w:type="dxa"/>
              <w:end w:w="100" w:type="dxa"/>
            </w:tcMar>
            <w:vAlign w:val="center"/>
            <w:shd w:fill="EEF4FB"/>
          </w:tcPr>
          <w:p>
            <w:pPr>
              <w:pStyle w:val="BodySS"/>
              <w:jc w:val="center"/>
            </w:pPr>
            <w:r>
              <w:t>Content operations</w:t>
            </w:r>
          </w:p>
        </w:tc>
        <w:tc>
          <w:tcPr>
            <w:tcW w:type="dxa" w:w="3600"/>
            <w:tcMar>
              <w:top w:w="100" w:type="dxa"/>
              <w:start w:w="100" w:type="dxa"/>
              <w:bottom w:w="100" w:type="dxa"/>
              <w:end w:w="100" w:type="dxa"/>
            </w:tcMar>
            <w:vAlign w:val="center"/>
          </w:tcPr>
          <w:p>
            <w:pPr>
              <w:pStyle w:val="BodySS"/>
              <w:jc w:val="left"/>
            </w:pPr>
            <w:r>
              <w:t>Quiz draft, flashcards, worksheets, facilitator notes</w:t>
            </w:r>
          </w:p>
        </w:tc>
        <w:tc>
          <w:tcPr>
            <w:tcW w:type="dxa" w:w="1800"/>
            <w:tcMar>
              <w:top w:w="100" w:type="dxa"/>
              <w:start w:w="100" w:type="dxa"/>
              <w:bottom w:w="100" w:type="dxa"/>
              <w:end w:w="100" w:type="dxa"/>
            </w:tcMar>
            <w:vAlign w:val="center"/>
          </w:tcPr>
          <w:p>
            <w:pPr>
              <w:pStyle w:val="BodySS"/>
              <w:jc w:val="center"/>
            </w:pPr>
            <w:r>
              <w:t>Content admins</w:t>
            </w:r>
          </w:p>
        </w:tc>
        <w:tc>
          <w:tcPr>
            <w:tcW w:type="dxa" w:w="1440"/>
            <w:tcMar>
              <w:top w:w="100" w:type="dxa"/>
              <w:start w:w="100" w:type="dxa"/>
              <w:bottom w:w="100" w:type="dxa"/>
              <w:end w:w="100" w:type="dxa"/>
            </w:tcMar>
            <w:vAlign w:val="center"/>
          </w:tcPr>
          <w:p>
            <w:pPr>
              <w:pStyle w:val="BodySS"/>
              <w:jc w:val="center"/>
            </w:pPr>
            <w:r>
              <w:t>Phase 2</w:t>
            </w:r>
          </w:p>
        </w:tc>
      </w:tr>
      <w:tr>
        <w:tc>
          <w:tcPr>
            <w:tcW w:type="dxa" w:w="2304"/>
            <w:tcMar>
              <w:top w:w="100" w:type="dxa"/>
              <w:start w:w="100" w:type="dxa"/>
              <w:bottom w:w="100" w:type="dxa"/>
              <w:end w:w="100" w:type="dxa"/>
            </w:tcMar>
            <w:vAlign w:val="center"/>
            <w:shd w:fill="EEF4FB"/>
          </w:tcPr>
          <w:p>
            <w:pPr>
              <w:pStyle w:val="BodySS"/>
              <w:jc w:val="left"/>
            </w:pPr>
            <w:r>
              <w:t>Internal sales enablement</w:t>
            </w:r>
          </w:p>
        </w:tc>
        <w:tc>
          <w:tcPr>
            <w:tcW w:type="dxa" w:w="3600"/>
            <w:tcMar>
              <w:top w:w="100" w:type="dxa"/>
              <w:start w:w="100" w:type="dxa"/>
              <w:bottom w:w="100" w:type="dxa"/>
              <w:end w:w="100" w:type="dxa"/>
            </w:tcMar>
            <w:vAlign w:val="center"/>
          </w:tcPr>
          <w:p>
            <w:pPr>
              <w:pStyle w:val="BodySS"/>
              <w:jc w:val="left"/>
            </w:pPr>
            <w:r>
              <w:t>Pitch brief, discovery questions, objection angles, follow-up draft</w:t>
            </w:r>
          </w:p>
        </w:tc>
        <w:tc>
          <w:tcPr>
            <w:tcW w:type="dxa" w:w="1800"/>
            <w:tcMar>
              <w:top w:w="100" w:type="dxa"/>
              <w:start w:w="100" w:type="dxa"/>
              <w:bottom w:w="100" w:type="dxa"/>
              <w:end w:w="100" w:type="dxa"/>
            </w:tcMar>
            <w:vAlign w:val="center"/>
          </w:tcPr>
          <w:p>
            <w:pPr>
              <w:pStyle w:val="BodySS"/>
              <w:jc w:val="center"/>
            </w:pPr>
            <w:r>
              <w:t>Strengthscape sales</w:t>
            </w:r>
          </w:p>
        </w:tc>
        <w:tc>
          <w:tcPr>
            <w:tcW w:type="dxa" w:w="1440"/>
            <w:tcMar>
              <w:top w:w="100" w:type="dxa"/>
              <w:start w:w="100" w:type="dxa"/>
              <w:bottom w:w="100" w:type="dxa"/>
              <w:end w:w="100" w:type="dxa"/>
            </w:tcMar>
            <w:vAlign w:val="center"/>
          </w:tcPr>
          <w:p>
            <w:pPr>
              <w:pStyle w:val="BodySS"/>
              <w:jc w:val="center"/>
            </w:pPr>
            <w:r>
              <w:t>Phase 2</w:t>
            </w:r>
          </w:p>
        </w:tc>
      </w:tr>
      <w:tr>
        <w:tc>
          <w:tcPr>
            <w:tcW w:type="dxa" w:w="2304"/>
            <w:tcMar>
              <w:top w:w="100" w:type="dxa"/>
              <w:start w:w="100" w:type="dxa"/>
              <w:bottom w:w="100" w:type="dxa"/>
              <w:end w:w="100" w:type="dxa"/>
            </w:tcMar>
            <w:vAlign w:val="center"/>
            <w:shd w:fill="EEF4FB"/>
          </w:tcPr>
          <w:p>
            <w:pPr>
              <w:pStyle w:val="BodySS"/>
              <w:jc w:val="center"/>
            </w:pPr>
            <w:r>
              <w:t>Consulting intelligence</w:t>
            </w:r>
          </w:p>
        </w:tc>
        <w:tc>
          <w:tcPr>
            <w:tcW w:type="dxa" w:w="3600"/>
            <w:tcMar>
              <w:top w:w="100" w:type="dxa"/>
              <w:start w:w="100" w:type="dxa"/>
              <w:bottom w:w="100" w:type="dxa"/>
              <w:end w:w="100" w:type="dxa"/>
            </w:tcMar>
            <w:vAlign w:val="center"/>
          </w:tcPr>
          <w:p>
            <w:pPr>
              <w:pStyle w:val="BodySS"/>
              <w:jc w:val="left"/>
            </w:pPr>
            <w:r>
              <w:t>Pattern synthesis, follow-up interventions, cohort observations</w:t>
            </w:r>
          </w:p>
        </w:tc>
        <w:tc>
          <w:tcPr>
            <w:tcW w:type="dxa" w:w="1800"/>
            <w:tcMar>
              <w:top w:w="100" w:type="dxa"/>
              <w:start w:w="100" w:type="dxa"/>
              <w:bottom w:w="100" w:type="dxa"/>
              <w:end w:w="100" w:type="dxa"/>
            </w:tcMar>
            <w:vAlign w:val="center"/>
          </w:tcPr>
          <w:p>
            <w:pPr>
              <w:pStyle w:val="BodySS"/>
              <w:jc w:val="center"/>
            </w:pPr>
            <w:r>
              <w:t>Consultants</w:t>
            </w:r>
          </w:p>
        </w:tc>
        <w:tc>
          <w:tcPr>
            <w:tcW w:type="dxa" w:w="1440"/>
            <w:tcMar>
              <w:top w:w="100" w:type="dxa"/>
              <w:start w:w="100" w:type="dxa"/>
              <w:bottom w:w="100" w:type="dxa"/>
              <w:end w:w="100" w:type="dxa"/>
            </w:tcMar>
            <w:vAlign w:val="center"/>
          </w:tcPr>
          <w:p>
            <w:pPr>
              <w:pStyle w:val="BodySS"/>
              <w:jc w:val="center"/>
            </w:pPr>
            <w:r>
              <w:t>Phase 3</w:t>
            </w:r>
          </w:p>
        </w:tc>
      </w:tr>
    </w:tbl>
    <w:p>
      <w:pPr>
        <w:pStyle w:val="SectionSS"/>
        <w:spacing w:before="200" w:after="80" w:line="276" w:lineRule="auto"/>
      </w:pPr>
      <w:r>
        <w:t>6.5 Guided AI question architecture</w:t>
      </w:r>
    </w:p>
    <w:p>
      <w:pPr>
        <w:pStyle w:val="BodySS"/>
        <w:spacing w:before="0" w:after="100" w:line="276" w:lineRule="auto"/>
      </w:pPr>
      <w:r>
        <w:t>A central design decision already locked for Edge is the use of a guided AI insights layer with standard dropdown questions instead of a free-form client chatbot. This is one of the strongest product calls in the entire platform because it improves trust, speeds usage, reduces prompt ambiguity, and makes the output more easily packageable into consulting workflows.</w:t>
      </w:r>
    </w:p>
    <w:p>
      <w:pPr>
        <w:pStyle w:val="BodySS"/>
        <w:spacing w:before="0" w:after="100" w:line="276" w:lineRule="auto"/>
      </w:pPr>
      <w:r>
        <w:t>The request form should capture at minimum the selected question, role, challenge, audience, optional business context, and the source artifact or course context. Every answer should return in a structured layout rather than a long wall of prose.</w:t>
      </w:r>
    </w:p>
    <w:p>
      <w:pPr>
        <w:pStyle w:val="BodySS"/>
        <w:spacing w:before="0" w:after="40" w:line="276" w:lineRule="auto"/>
        <w:ind w:left="360" w:hanging="216"/>
      </w:pPr>
      <w:r>
        <w:t>• Core standard question examples already approved include: What rituals should this team create? How should a first-time manager apply this? What should we do in the next 30 days? What risks should we watch for? How should we communicate this to leaders?</w:t>
      </w:r>
    </w:p>
    <w:p>
      <w:pPr>
        <w:pStyle w:val="BodySS"/>
        <w:spacing w:before="0" w:after="40" w:line="276" w:lineRule="auto"/>
        <w:ind w:left="360" w:hanging="216"/>
      </w:pPr>
      <w:r>
        <w:t>• Recommended additional standard questions: What should this leader do differently in weekly team meetings? Where is this team most likely to break down under pressure? What manager habits will improve follow-through? What should HR or L&amp;D reinforce after this program? What are the top three actions for the next 90 days?</w:t>
      </w:r>
    </w:p>
    <w:p>
      <w:pPr>
        <w:pStyle w:val="BodySS"/>
        <w:spacing w:before="0" w:after="40" w:line="276" w:lineRule="auto"/>
        <w:ind w:left="360" w:hanging="216"/>
      </w:pPr>
      <w:r>
        <w:t>• Responses should be segmented into summary, recommendations, risks, suggested ritual or habit, and next-step block.</w:t>
      </w:r>
    </w:p>
    <w:p>
      <w:pPr>
        <w:pStyle w:val="SectionSS"/>
        <w:spacing w:before="200" w:after="80" w:line="276" w:lineRule="auto"/>
      </w:pPr>
      <w:r>
        <w:t>6.6 Assessment-linked insight model</w:t>
      </w:r>
    </w:p>
    <w:p>
      <w:pPr>
        <w:pStyle w:val="BodySS"/>
        <w:spacing w:before="0" w:after="100" w:line="276" w:lineRule="auto"/>
      </w:pPr>
      <w:r>
        <w:t>The LMS should support assessment-linked guidance, but only at the level of interpretation and action. The system may ingest uploaded reports, summary extracts, or structured outputs from the separate assessment centre. It should not attempt to become the primary psychometric scoring and report-generation engine.</w:t>
      </w:r>
    </w:p>
    <w:p>
      <w:pPr>
        <w:pStyle w:val="BodySS"/>
        <w:spacing w:before="0" w:after="100" w:line="276" w:lineRule="auto"/>
      </w:pPr>
      <w:r>
        <w:t>The assessment insight feature is therefore a translation layer: from diagnostic signals to learning actions, team rituals, communication strategies, and program follow-through. This makes Edge much more useful in long-term culture and leadership journeys without overloading the core LMS architecture.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76"/>
            <w:shd w:fill="2F5597"/>
            <w:vAlign w:val="center"/>
          </w:tcPr>
          <w:p>
            <w:pPr>
              <w:pStyle w:val="TableHeadSS"/>
              <w:jc w:val="center"/>
            </w:pPr>
            <w:r>
              <w:t>Assessment input type</w:t>
            </w:r>
          </w:p>
        </w:tc>
        <w:tc>
          <w:tcPr>
            <w:tcW w:type="dxa" w:w="1440"/>
            <w:shd w:fill="2F5597"/>
            <w:vAlign w:val="center"/>
          </w:tcPr>
          <w:p>
            <w:pPr>
              <w:pStyle w:val="TableHeadSS"/>
              <w:jc w:val="center"/>
            </w:pPr>
            <w:r>
              <w:t>Allowed in LMS?</w:t>
            </w:r>
          </w:p>
        </w:tc>
        <w:tc>
          <w:tcPr>
            <w:tcW w:type="dxa" w:w="3240"/>
            <w:shd w:fill="2F5597"/>
            <w:vAlign w:val="center"/>
          </w:tcPr>
          <w:p>
            <w:pPr>
              <w:pStyle w:val="TableHeadSS"/>
              <w:jc w:val="center"/>
            </w:pPr>
            <w:r>
              <w:t>How to use it</w:t>
            </w:r>
          </w:p>
        </w:tc>
        <w:tc>
          <w:tcPr>
            <w:tcW w:type="dxa" w:w="2015"/>
            <w:shd w:fill="2F5597"/>
            <w:vAlign w:val="center"/>
          </w:tcPr>
          <w:p>
            <w:pPr>
              <w:pStyle w:val="TableHeadSS"/>
              <w:jc w:val="center"/>
            </w:pPr>
            <w:r>
              <w:t>Boundary note</w:t>
            </w:r>
          </w:p>
        </w:tc>
      </w:tr>
      <w:tr>
        <w:tc>
          <w:tcPr>
            <w:tcW w:type="dxa" w:w="2376"/>
            <w:tcMar>
              <w:top w:w="100" w:type="dxa"/>
              <w:start w:w="100" w:type="dxa"/>
              <w:bottom w:w="100" w:type="dxa"/>
              <w:end w:w="100" w:type="dxa"/>
            </w:tcMar>
            <w:vAlign w:val="center"/>
            <w:shd w:fill="EEF4FB"/>
          </w:tcPr>
          <w:p>
            <w:pPr>
              <w:pStyle w:val="BodySS"/>
              <w:jc w:val="center"/>
            </w:pPr>
            <w:r>
              <w:t>Uploaded PDF report</w:t>
            </w:r>
          </w:p>
        </w:tc>
        <w:tc>
          <w:tcPr>
            <w:tcW w:type="dxa" w:w="1440"/>
            <w:tcMar>
              <w:top w:w="100" w:type="dxa"/>
              <w:start w:w="100" w:type="dxa"/>
              <w:bottom w:w="100" w:type="dxa"/>
              <w:end w:w="100" w:type="dxa"/>
            </w:tcMar>
            <w:vAlign w:val="center"/>
          </w:tcPr>
          <w:p>
            <w:pPr>
              <w:pStyle w:val="BodySS"/>
              <w:jc w:val="left"/>
            </w:pPr>
            <w:r>
              <w:t>Yes</w:t>
            </w:r>
          </w:p>
        </w:tc>
        <w:tc>
          <w:tcPr>
            <w:tcW w:type="dxa" w:w="3240"/>
            <w:tcMar>
              <w:top w:w="100" w:type="dxa"/>
              <w:start w:w="100" w:type="dxa"/>
              <w:bottom w:w="100" w:type="dxa"/>
              <w:end w:w="100" w:type="dxa"/>
            </w:tcMar>
            <w:vAlign w:val="center"/>
          </w:tcPr>
          <w:p>
            <w:pPr>
              <w:pStyle w:val="BodySS"/>
              <w:jc w:val="left"/>
            </w:pPr>
            <w:r>
              <w:t>Parse or summarise key findings, then answer guided questions.</w:t>
            </w:r>
          </w:p>
        </w:tc>
        <w:tc>
          <w:tcPr>
            <w:tcW w:type="dxa" w:w="2015"/>
            <w:tcMar>
              <w:top w:w="100" w:type="dxa"/>
              <w:start w:w="100" w:type="dxa"/>
              <w:bottom w:w="100" w:type="dxa"/>
              <w:end w:w="100" w:type="dxa"/>
            </w:tcMar>
            <w:vAlign w:val="center"/>
          </w:tcPr>
          <w:p>
            <w:pPr>
              <w:pStyle w:val="BodySS"/>
              <w:jc w:val="left"/>
            </w:pPr>
            <w:r>
              <w:t>Interpretation only, not primary scoring.</w:t>
            </w:r>
          </w:p>
        </w:tc>
      </w:tr>
      <w:tr>
        <w:tc>
          <w:tcPr>
            <w:tcW w:type="dxa" w:w="2376"/>
            <w:tcMar>
              <w:top w:w="100" w:type="dxa"/>
              <w:start w:w="100" w:type="dxa"/>
              <w:bottom w:w="100" w:type="dxa"/>
              <w:end w:w="100" w:type="dxa"/>
            </w:tcMar>
            <w:vAlign w:val="center"/>
            <w:shd w:fill="EEF4FB"/>
          </w:tcPr>
          <w:p>
            <w:pPr>
              <w:pStyle w:val="BodySS"/>
              <w:jc w:val="left"/>
            </w:pPr>
            <w:r>
              <w:t>Structured JSON summary from assessment centre</w:t>
            </w:r>
          </w:p>
        </w:tc>
        <w:tc>
          <w:tcPr>
            <w:tcW w:type="dxa" w:w="1440"/>
            <w:tcMar>
              <w:top w:w="100" w:type="dxa"/>
              <w:start w:w="100" w:type="dxa"/>
              <w:bottom w:w="100" w:type="dxa"/>
              <w:end w:w="100" w:type="dxa"/>
            </w:tcMar>
            <w:vAlign w:val="center"/>
          </w:tcPr>
          <w:p>
            <w:pPr>
              <w:pStyle w:val="BodySS"/>
              <w:jc w:val="left"/>
            </w:pPr>
            <w:r>
              <w:t>Yes</w:t>
            </w:r>
          </w:p>
        </w:tc>
        <w:tc>
          <w:tcPr>
            <w:tcW w:type="dxa" w:w="3240"/>
            <w:tcMar>
              <w:top w:w="100" w:type="dxa"/>
              <w:start w:w="100" w:type="dxa"/>
              <w:bottom w:w="100" w:type="dxa"/>
              <w:end w:w="100" w:type="dxa"/>
            </w:tcMar>
            <w:vAlign w:val="center"/>
          </w:tcPr>
          <w:p>
            <w:pPr>
              <w:pStyle w:val="BodySS"/>
              <w:jc w:val="left"/>
            </w:pPr>
            <w:r>
              <w:t>Best option for role, scores, themes, and risk flags.</w:t>
            </w:r>
          </w:p>
        </w:tc>
        <w:tc>
          <w:tcPr>
            <w:tcW w:type="dxa" w:w="2015"/>
            <w:tcMar>
              <w:top w:w="100" w:type="dxa"/>
              <w:start w:w="100" w:type="dxa"/>
              <w:bottom w:w="100" w:type="dxa"/>
              <w:end w:w="100" w:type="dxa"/>
            </w:tcMar>
            <w:vAlign w:val="center"/>
          </w:tcPr>
          <w:p>
            <w:pPr>
              <w:pStyle w:val="BodySS"/>
              <w:jc w:val="left"/>
            </w:pPr>
            <w:r>
              <w:t>Preferred integration pattern.</w:t>
            </w:r>
          </w:p>
        </w:tc>
      </w:tr>
      <w:tr>
        <w:tc>
          <w:tcPr>
            <w:tcW w:type="dxa" w:w="2376"/>
            <w:tcMar>
              <w:top w:w="100" w:type="dxa"/>
              <w:start w:w="100" w:type="dxa"/>
              <w:bottom w:w="100" w:type="dxa"/>
              <w:end w:w="100" w:type="dxa"/>
            </w:tcMar>
            <w:vAlign w:val="center"/>
            <w:shd w:fill="EEF4FB"/>
          </w:tcPr>
          <w:p>
            <w:pPr>
              <w:pStyle w:val="BodySS"/>
              <w:jc w:val="left"/>
            </w:pPr>
            <w:r>
              <w:t>Raw psychometric item engine</w:t>
            </w:r>
          </w:p>
        </w:tc>
        <w:tc>
          <w:tcPr>
            <w:tcW w:type="dxa" w:w="1440"/>
            <w:tcMar>
              <w:top w:w="100" w:type="dxa"/>
              <w:start w:w="100" w:type="dxa"/>
              <w:bottom w:w="100" w:type="dxa"/>
              <w:end w:w="100" w:type="dxa"/>
            </w:tcMar>
            <w:vAlign w:val="center"/>
          </w:tcPr>
          <w:p>
            <w:pPr>
              <w:pStyle w:val="BodySS"/>
              <w:jc w:val="left"/>
            </w:pPr>
            <w:r>
              <w:t>No</w:t>
            </w:r>
          </w:p>
        </w:tc>
        <w:tc>
          <w:tcPr>
            <w:tcW w:type="dxa" w:w="3240"/>
            <w:tcMar>
              <w:top w:w="100" w:type="dxa"/>
              <w:start w:w="100" w:type="dxa"/>
              <w:bottom w:w="100" w:type="dxa"/>
              <w:end w:w="100" w:type="dxa"/>
            </w:tcMar>
            <w:vAlign w:val="center"/>
          </w:tcPr>
          <w:p>
            <w:pPr>
              <w:pStyle w:val="BodySS"/>
              <w:jc w:val="center"/>
            </w:pPr>
            <w:r>
              <w:t>Keep outside LMS core.</w:t>
            </w:r>
          </w:p>
        </w:tc>
        <w:tc>
          <w:tcPr>
            <w:tcW w:type="dxa" w:w="2015"/>
            <w:tcMar>
              <w:top w:w="100" w:type="dxa"/>
              <w:start w:w="100" w:type="dxa"/>
              <w:bottom w:w="100" w:type="dxa"/>
              <w:end w:w="100" w:type="dxa"/>
            </w:tcMar>
            <w:vAlign w:val="center"/>
          </w:tcPr>
          <w:p>
            <w:pPr>
              <w:pStyle w:val="BodySS"/>
              <w:jc w:val="left"/>
            </w:pPr>
            <w:r>
              <w:t>Separate product/service layer.</w:t>
            </w:r>
          </w:p>
        </w:tc>
      </w:tr>
      <w:tr>
        <w:tc>
          <w:tcPr>
            <w:tcW w:type="dxa" w:w="2376"/>
            <w:tcMar>
              <w:top w:w="100" w:type="dxa"/>
              <w:start w:w="100" w:type="dxa"/>
              <w:bottom w:w="100" w:type="dxa"/>
              <w:end w:w="100" w:type="dxa"/>
            </w:tcMar>
            <w:vAlign w:val="center"/>
            <w:shd w:fill="EEF4FB"/>
          </w:tcPr>
          <w:p>
            <w:pPr>
              <w:pStyle w:val="BodySS"/>
              <w:jc w:val="center"/>
            </w:pPr>
            <w:r>
              <w:t>360 rater workflow</w:t>
            </w:r>
          </w:p>
        </w:tc>
        <w:tc>
          <w:tcPr>
            <w:tcW w:type="dxa" w:w="1440"/>
            <w:tcMar>
              <w:top w:w="100" w:type="dxa"/>
              <w:start w:w="100" w:type="dxa"/>
              <w:bottom w:w="100" w:type="dxa"/>
              <w:end w:w="100" w:type="dxa"/>
            </w:tcMar>
            <w:vAlign w:val="center"/>
          </w:tcPr>
          <w:p>
            <w:pPr>
              <w:pStyle w:val="BodySS"/>
              <w:jc w:val="left"/>
            </w:pPr>
            <w:r>
              <w:t>No</w:t>
            </w:r>
          </w:p>
        </w:tc>
        <w:tc>
          <w:tcPr>
            <w:tcW w:type="dxa" w:w="3240"/>
            <w:tcMar>
              <w:top w:w="100" w:type="dxa"/>
              <w:start w:w="100" w:type="dxa"/>
              <w:bottom w:w="100" w:type="dxa"/>
              <w:end w:w="100" w:type="dxa"/>
            </w:tcMar>
            <w:vAlign w:val="center"/>
          </w:tcPr>
          <w:p>
            <w:pPr>
              <w:pStyle w:val="BodySS"/>
              <w:jc w:val="left"/>
            </w:pPr>
            <w:r>
              <w:t>Connect by summary data only.</w:t>
            </w:r>
          </w:p>
        </w:tc>
        <w:tc>
          <w:tcPr>
            <w:tcW w:type="dxa" w:w="2015"/>
            <w:tcMar>
              <w:top w:w="100" w:type="dxa"/>
              <w:start w:w="100" w:type="dxa"/>
              <w:bottom w:w="100" w:type="dxa"/>
              <w:end w:w="100" w:type="dxa"/>
            </w:tcMar>
            <w:vAlign w:val="center"/>
          </w:tcPr>
          <w:p>
            <w:pPr>
              <w:pStyle w:val="BodySS"/>
              <w:jc w:val="left"/>
            </w:pPr>
            <w:r>
              <w:t>Avoid duplicating assessment-centre complexity.</w:t>
            </w:r>
          </w:p>
        </w:tc>
      </w:tr>
      <w:tr>
        <w:tc>
          <w:tcPr>
            <w:tcW w:type="dxa" w:w="2376"/>
            <w:tcMar>
              <w:top w:w="100" w:type="dxa"/>
              <w:start w:w="100" w:type="dxa"/>
              <w:bottom w:w="100" w:type="dxa"/>
              <w:end w:w="100" w:type="dxa"/>
            </w:tcMar>
            <w:vAlign w:val="center"/>
            <w:shd w:fill="EEF4FB"/>
          </w:tcPr>
          <w:p>
            <w:pPr>
              <w:pStyle w:val="BodySS"/>
              <w:jc w:val="left"/>
            </w:pPr>
            <w:r>
              <w:t>Self-reflection or pulse forms</w:t>
            </w:r>
          </w:p>
        </w:tc>
        <w:tc>
          <w:tcPr>
            <w:tcW w:type="dxa" w:w="1440"/>
            <w:tcMar>
              <w:top w:w="100" w:type="dxa"/>
              <w:start w:w="100" w:type="dxa"/>
              <w:bottom w:w="100" w:type="dxa"/>
              <w:end w:w="100" w:type="dxa"/>
            </w:tcMar>
            <w:vAlign w:val="center"/>
          </w:tcPr>
          <w:p>
            <w:pPr>
              <w:pStyle w:val="BodySS"/>
              <w:jc w:val="left"/>
            </w:pPr>
            <w:r>
              <w:t>Yes</w:t>
            </w:r>
          </w:p>
        </w:tc>
        <w:tc>
          <w:tcPr>
            <w:tcW w:type="dxa" w:w="3240"/>
            <w:tcMar>
              <w:top w:w="100" w:type="dxa"/>
              <w:start w:w="100" w:type="dxa"/>
              <w:bottom w:w="100" w:type="dxa"/>
              <w:end w:w="100" w:type="dxa"/>
            </w:tcMar>
            <w:vAlign w:val="center"/>
          </w:tcPr>
          <w:p>
            <w:pPr>
              <w:pStyle w:val="BodySS"/>
              <w:jc w:val="left"/>
            </w:pPr>
            <w:r>
              <w:t>Use natively inside LMS.</w:t>
            </w:r>
          </w:p>
        </w:tc>
        <w:tc>
          <w:tcPr>
            <w:tcW w:type="dxa" w:w="2015"/>
            <w:tcMar>
              <w:top w:w="100" w:type="dxa"/>
              <w:start w:w="100" w:type="dxa"/>
              <w:bottom w:w="100" w:type="dxa"/>
              <w:end w:w="100" w:type="dxa"/>
            </w:tcMar>
            <w:vAlign w:val="center"/>
          </w:tcPr>
          <w:p>
            <w:pPr>
              <w:pStyle w:val="BodySS"/>
              <w:jc w:val="left"/>
            </w:pPr>
            <w:r>
              <w:t>These are learning-linked assessments.</w:t>
            </w:r>
          </w:p>
        </w:tc>
      </w:tr>
    </w:tbl>
    <w:p>
      <w:pPr>
        <w:pStyle w:val="SectionSS"/>
        <w:spacing w:before="200" w:after="80" w:line="276" w:lineRule="auto"/>
      </w:pPr>
      <w:r>
        <w:t>6.7 Content intelligence and generation engine</w:t>
      </w:r>
    </w:p>
    <w:p>
      <w:pPr>
        <w:pStyle w:val="BodySS"/>
        <w:spacing w:before="0" w:after="100" w:line="276" w:lineRule="auto"/>
      </w:pPr>
      <w:r>
        <w:t>Edge should allow approved admins to upload source material such as decks, transcripts, PDFs, facilitator notes, and program documents, and then use AI to generate learning assets. This capability will materially reduce build time for new modules and improve the consistency of learner-facing support materials.</w:t>
      </w:r>
    </w:p>
    <w:p>
      <w:pPr>
        <w:pStyle w:val="BodySS"/>
        <w:spacing w:before="0" w:after="100" w:line="276" w:lineRule="auto"/>
      </w:pPr>
      <w:r>
        <w:t>The generated outputs should never be treated as automatically final. The system should support a review-and-publish workflow so that a human editor can approve, edit, or reject outputs before they become learner-visible.</w:t>
      </w:r>
    </w:p>
    <w:p>
      <w:pPr>
        <w:pStyle w:val="BodySS"/>
        <w:spacing w:before="0" w:after="40" w:line="276" w:lineRule="auto"/>
        <w:ind w:left="360" w:hanging="216"/>
      </w:pPr>
      <w:r>
        <w:t>• Generate lesson summaries and key takeaways.</w:t>
      </w:r>
    </w:p>
    <w:p>
      <w:pPr>
        <w:pStyle w:val="BodySS"/>
        <w:spacing w:before="0" w:after="40" w:line="276" w:lineRule="auto"/>
        <w:ind w:left="360" w:hanging="216"/>
      </w:pPr>
      <w:r>
        <w:t>• Generate quiz question drafts and feedback explanations.</w:t>
      </w:r>
    </w:p>
    <w:p>
      <w:pPr>
        <w:pStyle w:val="BodySS"/>
        <w:spacing w:before="0" w:after="40" w:line="276" w:lineRule="auto"/>
        <w:ind w:left="360" w:hanging="216"/>
      </w:pPr>
      <w:r>
        <w:t>• Generate flashcards, revision notes, and worksheets.</w:t>
      </w:r>
    </w:p>
    <w:p>
      <w:pPr>
        <w:pStyle w:val="BodySS"/>
        <w:spacing w:before="0" w:after="40" w:line="276" w:lineRule="auto"/>
        <w:ind w:left="360" w:hanging="216"/>
      </w:pPr>
      <w:r>
        <w:t>• Generate facilitator debrief notes and manager discussion prompts.</w:t>
      </w:r>
    </w:p>
    <w:p>
      <w:pPr>
        <w:pStyle w:val="BodySS"/>
        <w:spacing w:before="0" w:after="40" w:line="276" w:lineRule="auto"/>
        <w:ind w:left="360" w:hanging="216"/>
      </w:pPr>
      <w:r>
        <w:t>• Generate nudges, reminder copy, and follow-up communication assets.</w:t>
      </w:r>
    </w:p>
    <w:p>
      <w:pPr>
        <w:pStyle w:val="SectionSS"/>
        <w:spacing w:before="200" w:after="80" w:line="276" w:lineRule="auto"/>
      </w:pPr>
      <w:r>
        <w:t>6.8 Internal sales and facilitator copilot</w:t>
      </w:r>
    </w:p>
    <w:p>
      <w:pPr>
        <w:pStyle w:val="BodySS"/>
        <w:spacing w:before="0" w:after="100" w:line="276" w:lineRule="auto"/>
      </w:pPr>
      <w:r>
        <w:t>A contemporary Strengthscape LMS should improve internal execution as much as external delivery. The same intelligence layer can serve the sales team, facilitators, and content staff if the permissions and prompt templates are clearly separated.</w:t>
      </w:r>
    </w:p>
    <w:p>
      <w:pPr>
        <w:pStyle w:val="BodySS"/>
        <w:spacing w:before="0" w:after="100" w:line="276" w:lineRule="auto"/>
      </w:pPr>
      <w:r>
        <w:t>For sales, the system should support product understanding, pitch preparation, discovery questions, positioning ideas, and follow-up drafting. For facilitators, it should support session framing, debrief prompts, case adaptation, and reinforcement design.</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2F5597"/>
            <w:vAlign w:val="center"/>
          </w:tcPr>
          <w:p>
            <w:pPr>
              <w:pStyle w:val="TableHeadSS"/>
              <w:jc w:val="center"/>
            </w:pPr>
            <w:r>
              <w:t>Internal user</w:t>
            </w:r>
          </w:p>
        </w:tc>
        <w:tc>
          <w:tcPr>
            <w:tcW w:type="dxa" w:w="4031"/>
            <w:shd w:fill="2F5597"/>
            <w:vAlign w:val="center"/>
          </w:tcPr>
          <w:p>
            <w:pPr>
              <w:pStyle w:val="TableHeadSS"/>
              <w:jc w:val="center"/>
            </w:pPr>
            <w:r>
              <w:t>AI-supported tasks</w:t>
            </w:r>
          </w:p>
        </w:tc>
        <w:tc>
          <w:tcPr>
            <w:tcW w:type="dxa" w:w="3311"/>
            <w:shd w:fill="2F5597"/>
            <w:vAlign w:val="center"/>
          </w:tcPr>
          <w:p>
            <w:pPr>
              <w:pStyle w:val="TableHeadSS"/>
              <w:jc w:val="center"/>
            </w:pPr>
            <w:r>
              <w:t>Recommended output blocks</w:t>
            </w:r>
          </w:p>
        </w:tc>
      </w:tr>
      <w:tr>
        <w:tc>
          <w:tcPr>
            <w:tcW w:type="dxa" w:w="1728"/>
            <w:tcMar>
              <w:top w:w="100" w:type="dxa"/>
              <w:start w:w="100" w:type="dxa"/>
              <w:bottom w:w="100" w:type="dxa"/>
              <w:end w:w="100" w:type="dxa"/>
            </w:tcMar>
            <w:vAlign w:val="center"/>
            <w:shd w:fill="EEF4FB"/>
          </w:tcPr>
          <w:p>
            <w:pPr>
              <w:pStyle w:val="BodySS"/>
              <w:jc w:val="center"/>
            </w:pPr>
            <w:r>
              <w:t>Salesperson</w:t>
            </w:r>
          </w:p>
        </w:tc>
        <w:tc>
          <w:tcPr>
            <w:tcW w:type="dxa" w:w="4031"/>
            <w:tcMar>
              <w:top w:w="100" w:type="dxa"/>
              <w:start w:w="100" w:type="dxa"/>
              <w:bottom w:w="100" w:type="dxa"/>
              <w:end w:w="100" w:type="dxa"/>
            </w:tcMar>
            <w:vAlign w:val="center"/>
          </w:tcPr>
          <w:p>
            <w:pPr>
              <w:pStyle w:val="BodySS"/>
              <w:jc w:val="left"/>
            </w:pPr>
            <w:r>
              <w:t>Understand a product, prep for meeting, rehearse objections, generate follow-up mail</w:t>
            </w:r>
          </w:p>
        </w:tc>
        <w:tc>
          <w:tcPr>
            <w:tcW w:type="dxa" w:w="3311"/>
            <w:tcMar>
              <w:top w:w="100" w:type="dxa"/>
              <w:start w:w="100" w:type="dxa"/>
              <w:bottom w:w="100" w:type="dxa"/>
              <w:end w:w="100" w:type="dxa"/>
            </w:tcMar>
            <w:vAlign w:val="center"/>
          </w:tcPr>
          <w:p>
            <w:pPr>
              <w:pStyle w:val="BodySS"/>
              <w:jc w:val="left"/>
            </w:pPr>
            <w:r>
              <w:t>Meeting brief, questions to ask, likely objections, follow-up draft</w:t>
            </w:r>
          </w:p>
        </w:tc>
      </w:tr>
      <w:tr>
        <w:tc>
          <w:tcPr>
            <w:tcW w:type="dxa" w:w="1728"/>
            <w:tcMar>
              <w:top w:w="100" w:type="dxa"/>
              <w:start w:w="100" w:type="dxa"/>
              <w:bottom w:w="100" w:type="dxa"/>
              <w:end w:w="100" w:type="dxa"/>
            </w:tcMar>
            <w:vAlign w:val="center"/>
            <w:shd w:fill="EEF4FB"/>
          </w:tcPr>
          <w:p>
            <w:pPr>
              <w:pStyle w:val="BodySS"/>
              <w:jc w:val="center"/>
            </w:pPr>
            <w:r>
              <w:t>Facilitator</w:t>
            </w:r>
          </w:p>
        </w:tc>
        <w:tc>
          <w:tcPr>
            <w:tcW w:type="dxa" w:w="4031"/>
            <w:tcMar>
              <w:top w:w="100" w:type="dxa"/>
              <w:start w:w="100" w:type="dxa"/>
              <w:bottom w:w="100" w:type="dxa"/>
              <w:end w:w="100" w:type="dxa"/>
            </w:tcMar>
            <w:vAlign w:val="center"/>
          </w:tcPr>
          <w:p>
            <w:pPr>
              <w:pStyle w:val="BodySS"/>
              <w:jc w:val="left"/>
            </w:pPr>
            <w:r>
              <w:t>Prepare debrief, adapt exercises, build examples for cohort</w:t>
            </w:r>
          </w:p>
        </w:tc>
        <w:tc>
          <w:tcPr>
            <w:tcW w:type="dxa" w:w="3311"/>
            <w:tcMar>
              <w:top w:w="100" w:type="dxa"/>
              <w:start w:w="100" w:type="dxa"/>
              <w:bottom w:w="100" w:type="dxa"/>
              <w:end w:w="100" w:type="dxa"/>
            </w:tcMar>
            <w:vAlign w:val="center"/>
          </w:tcPr>
          <w:p>
            <w:pPr>
              <w:pStyle w:val="BodySS"/>
              <w:jc w:val="left"/>
            </w:pPr>
            <w:r>
              <w:t>Debrief cues, adapted examples, reflection prompts</w:t>
            </w:r>
          </w:p>
        </w:tc>
      </w:tr>
      <w:tr>
        <w:tc>
          <w:tcPr>
            <w:tcW w:type="dxa" w:w="1728"/>
            <w:tcMar>
              <w:top w:w="100" w:type="dxa"/>
              <w:start w:w="100" w:type="dxa"/>
              <w:bottom w:w="100" w:type="dxa"/>
              <w:end w:w="100" w:type="dxa"/>
            </w:tcMar>
            <w:vAlign w:val="center"/>
            <w:shd w:fill="EEF4FB"/>
          </w:tcPr>
          <w:p>
            <w:pPr>
              <w:pStyle w:val="BodySS"/>
              <w:jc w:val="center"/>
            </w:pPr>
            <w:r>
              <w:t>Content admin</w:t>
            </w:r>
          </w:p>
        </w:tc>
        <w:tc>
          <w:tcPr>
            <w:tcW w:type="dxa" w:w="4031"/>
            <w:tcMar>
              <w:top w:w="100" w:type="dxa"/>
              <w:start w:w="100" w:type="dxa"/>
              <w:bottom w:w="100" w:type="dxa"/>
              <w:end w:w="100" w:type="dxa"/>
            </w:tcMar>
            <w:vAlign w:val="center"/>
          </w:tcPr>
          <w:p>
            <w:pPr>
              <w:pStyle w:val="BodySS"/>
              <w:jc w:val="left"/>
            </w:pPr>
            <w:r>
              <w:t>Turn source material into learner assets</w:t>
            </w:r>
          </w:p>
        </w:tc>
        <w:tc>
          <w:tcPr>
            <w:tcW w:type="dxa" w:w="3311"/>
            <w:tcMar>
              <w:top w:w="100" w:type="dxa"/>
              <w:start w:w="100" w:type="dxa"/>
              <w:bottom w:w="100" w:type="dxa"/>
              <w:end w:w="100" w:type="dxa"/>
            </w:tcMar>
            <w:vAlign w:val="center"/>
          </w:tcPr>
          <w:p>
            <w:pPr>
              <w:pStyle w:val="BodySS"/>
              <w:jc w:val="left"/>
            </w:pPr>
            <w:r>
              <w:t>Summary, quiz draft, flashcards, worksheet draft</w:t>
            </w:r>
          </w:p>
        </w:tc>
      </w:tr>
      <w:tr>
        <w:tc>
          <w:tcPr>
            <w:tcW w:type="dxa" w:w="1728"/>
            <w:tcMar>
              <w:top w:w="100" w:type="dxa"/>
              <w:start w:w="100" w:type="dxa"/>
              <w:bottom w:w="100" w:type="dxa"/>
              <w:end w:w="100" w:type="dxa"/>
            </w:tcMar>
            <w:vAlign w:val="center"/>
            <w:shd w:fill="EEF4FB"/>
          </w:tcPr>
          <w:p>
            <w:pPr>
              <w:pStyle w:val="BodySS"/>
              <w:jc w:val="center"/>
            </w:pPr>
            <w:r>
              <w:t>Consultant</w:t>
            </w:r>
          </w:p>
        </w:tc>
        <w:tc>
          <w:tcPr>
            <w:tcW w:type="dxa" w:w="4031"/>
            <w:tcMar>
              <w:top w:w="100" w:type="dxa"/>
              <w:start w:w="100" w:type="dxa"/>
              <w:bottom w:w="100" w:type="dxa"/>
              <w:end w:w="100" w:type="dxa"/>
            </w:tcMar>
            <w:vAlign w:val="center"/>
          </w:tcPr>
          <w:p>
            <w:pPr>
              <w:pStyle w:val="BodySS"/>
              <w:jc w:val="left"/>
            </w:pPr>
            <w:r>
              <w:t>Interpret client patterns and create next-step guidance</w:t>
            </w:r>
          </w:p>
        </w:tc>
        <w:tc>
          <w:tcPr>
            <w:tcW w:type="dxa" w:w="3311"/>
            <w:tcMar>
              <w:top w:w="100" w:type="dxa"/>
              <w:start w:w="100" w:type="dxa"/>
              <w:bottom w:w="100" w:type="dxa"/>
              <w:end w:w="100" w:type="dxa"/>
            </w:tcMar>
            <w:vAlign w:val="center"/>
          </w:tcPr>
          <w:p>
            <w:pPr>
              <w:pStyle w:val="BodySS"/>
              <w:jc w:val="left"/>
            </w:pPr>
            <w:r>
              <w:t>Pattern summary, risks, manager actions, intervention suggestions</w:t>
            </w:r>
          </w:p>
        </w:tc>
      </w:tr>
    </w:tbl>
    <w:p>
      <w:pPr>
        <w:pStyle w:val="SectionSS"/>
        <w:spacing w:before="200" w:after="80" w:line="276" w:lineRule="auto"/>
      </w:pPr>
      <w:r>
        <w:t>6.9 Model routing, provider strategy, and minimal-code doctrine</w:t>
      </w:r>
    </w:p>
    <w:p>
      <w:pPr>
        <w:pStyle w:val="BodySS"/>
        <w:spacing w:before="0" w:after="100" w:line="276" w:lineRule="auto"/>
      </w:pPr>
      <w:r>
        <w:t>Devansh should not hard-wire the whole system to a single provider endpoint in page workflows. Instead, Bubble should store a provider routing configuration so the platform can choose which model family is used for which job type. Gemini may be preferred for some reasoning and synthesis use cases, while other providers may remain useful for content transformation or fallback handling.</w:t>
      </w:r>
    </w:p>
    <w:p>
      <w:pPr>
        <w:pStyle w:val="BodySS"/>
        <w:spacing w:before="0" w:after="100" w:line="276" w:lineRule="auto"/>
      </w:pPr>
      <w:r>
        <w:t>Because the build target is minimal coding, the routing layer should be configuration-led: a Bubble data type or option set that maps use-case family to provider, model, prompt template version, temperature range, and response structure. The page should call a single reusable backend workflow rather than multiple endpoint-specific actions.</w:t>
      </w:r>
    </w:p>
    <w:p>
      <w:pPr>
        <w:pStyle w:val="BodySS"/>
        <w:spacing w:before="0" w:after="40" w:line="276" w:lineRule="auto"/>
        <w:ind w:left="360" w:hanging="216"/>
      </w:pPr>
      <w:r>
        <w:t>• Use one canonical Bubble backend workflow for AI requests.</w:t>
      </w:r>
    </w:p>
    <w:p>
      <w:pPr>
        <w:pStyle w:val="BodySS"/>
        <w:spacing w:before="0" w:after="40" w:line="276" w:lineRule="auto"/>
        <w:ind w:left="360" w:hanging="216"/>
      </w:pPr>
      <w:r>
        <w:t>• Pass request type, context record ID, user role, and prompt version as parameters.</w:t>
      </w:r>
    </w:p>
    <w:p>
      <w:pPr>
        <w:pStyle w:val="BodySS"/>
        <w:spacing w:before="0" w:after="40" w:line="276" w:lineRule="auto"/>
        <w:ind w:left="360" w:hanging="216"/>
      </w:pPr>
      <w:r>
        <w:t>• Use Make only when orchestration across systems is needed; keep simple calls directly in Bubble backend workflows.</w:t>
      </w:r>
    </w:p>
    <w:p>
      <w:pPr>
        <w:pStyle w:val="BodySS"/>
        <w:spacing w:before="0" w:after="40" w:line="276" w:lineRule="auto"/>
        <w:ind w:left="360" w:hanging="216"/>
      </w:pPr>
      <w:r>
        <w:t>• Store prompts as records where possible so Devansh can update behaviour without rebuilding pages.</w:t>
      </w:r>
    </w:p>
    <w:p>
      <w:pPr>
        <w:pStyle w:val="BodySS"/>
        <w:spacing w:before="0" w:after="40" w:line="276" w:lineRule="auto"/>
        <w:ind w:left="360" w:hanging="216"/>
      </w:pPr>
      <w:r>
        <w:t>• Use AI to generate payload schemas, API examples, validation logic, and structured output patterns during development.</w:t>
      </w:r>
    </w:p>
    <w:p>
      <w:pPr>
        <w:pStyle w:val="SectionSS"/>
        <w:spacing w:before="200" w:after="80" w:line="276" w:lineRule="auto"/>
      </w:pPr>
      <w:r>
        <w:t>6.10 Governance, audit, and trust controls</w:t>
      </w:r>
    </w:p>
    <w:p>
      <w:pPr>
        <w:pStyle w:val="BodySS"/>
        <w:spacing w:before="0" w:after="100" w:line="276" w:lineRule="auto"/>
      </w:pPr>
      <w:r>
        <w:t>AI inside an enterprise learning system must be governable. Every meaningful request should leave a trace: who asked, for which object, under which role, with which prompt template, and which output version. This is especially important once the system is used for client recommendations, manager guidance, or compliance-adjacent learning.</w:t>
      </w:r>
    </w:p>
    <w:tbl>
      <w:tblPr>
        <w:tblStyle w:val="TableGrid"/>
        <w:tblW w:type="auto" w:w="0"/>
        <w:jc w:val="center"/>
        <w:tblLook w:firstColumn="1" w:firstRow="1" w:lastColumn="0" w:lastRow="0" w:noHBand="0" w:noVBand="1" w:val="04A0"/>
      </w:tblPr>
      <w:tblGrid>
        <w:gridCol w:w="4968"/>
        <w:gridCol w:w="4968"/>
      </w:tblGrid>
      <w:tr>
        <w:tc>
          <w:tcPr>
            <w:tcW w:type="dxa" w:w="2880"/>
            <w:shd w:fill="2F5597"/>
            <w:vAlign w:val="center"/>
          </w:tcPr>
          <w:p>
            <w:pPr>
              <w:pStyle w:val="TableHeadSS"/>
              <w:jc w:val="center"/>
            </w:pPr>
            <w:r>
              <w:t>Control</w:t>
            </w:r>
          </w:p>
        </w:tc>
        <w:tc>
          <w:tcPr>
            <w:tcW w:type="dxa" w:w="5760"/>
            <w:shd w:fill="2F5597"/>
            <w:vAlign w:val="center"/>
          </w:tcPr>
          <w:p>
            <w:pPr>
              <w:pStyle w:val="TableHeadSS"/>
              <w:jc w:val="center"/>
            </w:pPr>
            <w:r>
              <w:t>Specification</w:t>
            </w:r>
          </w:p>
        </w:tc>
      </w:tr>
      <w:tr>
        <w:tc>
          <w:tcPr>
            <w:tcW w:type="dxa" w:w="2880"/>
            <w:tcMar>
              <w:top w:w="100" w:type="dxa"/>
              <w:start w:w="100" w:type="dxa"/>
              <w:bottom w:w="100" w:type="dxa"/>
              <w:end w:w="100" w:type="dxa"/>
            </w:tcMar>
            <w:vAlign w:val="center"/>
            <w:shd w:fill="EEF4FB"/>
          </w:tcPr>
          <w:p>
            <w:pPr>
              <w:pStyle w:val="BodySS"/>
              <w:jc w:val="center"/>
            </w:pPr>
            <w:r>
              <w:t>Request logging</w:t>
            </w:r>
          </w:p>
        </w:tc>
        <w:tc>
          <w:tcPr>
            <w:tcW w:type="dxa" w:w="5760"/>
            <w:tcMar>
              <w:top w:w="100" w:type="dxa"/>
              <w:start w:w="100" w:type="dxa"/>
              <w:bottom w:w="100" w:type="dxa"/>
              <w:end w:w="100" w:type="dxa"/>
            </w:tcMar>
            <w:vAlign w:val="center"/>
          </w:tcPr>
          <w:p>
            <w:pPr>
              <w:pStyle w:val="BodySS"/>
              <w:jc w:val="left"/>
            </w:pPr>
            <w:r>
              <w:t>Store requestor, timestamp, company, record context, question type, challenge type, provider, model, prompt version, and token/meta usage if available.</w:t>
            </w:r>
          </w:p>
        </w:tc>
      </w:tr>
      <w:tr>
        <w:tc>
          <w:tcPr>
            <w:tcW w:type="dxa" w:w="2880"/>
            <w:tcMar>
              <w:top w:w="100" w:type="dxa"/>
              <w:start w:w="100" w:type="dxa"/>
              <w:bottom w:w="100" w:type="dxa"/>
              <w:end w:w="100" w:type="dxa"/>
            </w:tcMar>
            <w:vAlign w:val="center"/>
            <w:shd w:fill="EEF4FB"/>
          </w:tcPr>
          <w:p>
            <w:pPr>
              <w:pStyle w:val="BodySS"/>
              <w:jc w:val="center"/>
            </w:pPr>
            <w:r>
              <w:t>Editable outputs</w:t>
            </w:r>
          </w:p>
        </w:tc>
        <w:tc>
          <w:tcPr>
            <w:tcW w:type="dxa" w:w="5760"/>
            <w:tcMar>
              <w:top w:w="100" w:type="dxa"/>
              <w:start w:w="100" w:type="dxa"/>
              <w:bottom w:w="100" w:type="dxa"/>
              <w:end w:w="100" w:type="dxa"/>
            </w:tcMar>
            <w:vAlign w:val="center"/>
          </w:tcPr>
          <w:p>
            <w:pPr>
              <w:pStyle w:val="BodySS"/>
              <w:jc w:val="left"/>
            </w:pPr>
            <w:r>
              <w:t>Generated outputs should be stored as editable records or versions, not transient text only.</w:t>
            </w:r>
          </w:p>
        </w:tc>
      </w:tr>
      <w:tr>
        <w:tc>
          <w:tcPr>
            <w:tcW w:type="dxa" w:w="2880"/>
            <w:tcMar>
              <w:top w:w="100" w:type="dxa"/>
              <w:start w:w="100" w:type="dxa"/>
              <w:bottom w:w="100" w:type="dxa"/>
              <w:end w:w="100" w:type="dxa"/>
            </w:tcMar>
            <w:vAlign w:val="center"/>
            <w:shd w:fill="EEF4FB"/>
          </w:tcPr>
          <w:p>
            <w:pPr>
              <w:pStyle w:val="BodySS"/>
              <w:jc w:val="center"/>
            </w:pPr>
            <w:r>
              <w:t>Admin moderation</w:t>
            </w:r>
          </w:p>
        </w:tc>
        <w:tc>
          <w:tcPr>
            <w:tcW w:type="dxa" w:w="5760"/>
            <w:tcMar>
              <w:top w:w="100" w:type="dxa"/>
              <w:start w:w="100" w:type="dxa"/>
              <w:bottom w:w="100" w:type="dxa"/>
              <w:end w:w="100" w:type="dxa"/>
            </w:tcMar>
            <w:vAlign w:val="center"/>
          </w:tcPr>
          <w:p>
            <w:pPr>
              <w:pStyle w:val="BodySS"/>
              <w:jc w:val="left"/>
            </w:pPr>
            <w:r>
              <w:t>Allow designated admins to mark outputs as approved, edited, hidden, or regenerate-required.</w:t>
            </w:r>
          </w:p>
        </w:tc>
      </w:tr>
      <w:tr>
        <w:tc>
          <w:tcPr>
            <w:tcW w:type="dxa" w:w="2880"/>
            <w:tcMar>
              <w:top w:w="100" w:type="dxa"/>
              <w:start w:w="100" w:type="dxa"/>
              <w:bottom w:w="100" w:type="dxa"/>
              <w:end w:w="100" w:type="dxa"/>
            </w:tcMar>
            <w:vAlign w:val="center"/>
            <w:shd w:fill="EEF4FB"/>
          </w:tcPr>
          <w:p>
            <w:pPr>
              <w:pStyle w:val="BodySS"/>
              <w:jc w:val="center"/>
            </w:pPr>
            <w:r>
              <w:t>Red-flag filters</w:t>
            </w:r>
          </w:p>
        </w:tc>
        <w:tc>
          <w:tcPr>
            <w:tcW w:type="dxa" w:w="5760"/>
            <w:tcMar>
              <w:top w:w="100" w:type="dxa"/>
              <w:start w:w="100" w:type="dxa"/>
              <w:bottom w:w="100" w:type="dxa"/>
              <w:end w:w="100" w:type="dxa"/>
            </w:tcMar>
            <w:vAlign w:val="center"/>
          </w:tcPr>
          <w:p>
            <w:pPr>
              <w:pStyle w:val="BodySS"/>
              <w:jc w:val="left"/>
            </w:pPr>
            <w:r>
              <w:t>Block or warn on certain request types, sensitive content categories, or unsupported interpretations.</w:t>
            </w:r>
          </w:p>
        </w:tc>
      </w:tr>
      <w:tr>
        <w:tc>
          <w:tcPr>
            <w:tcW w:type="dxa" w:w="2880"/>
            <w:tcMar>
              <w:top w:w="100" w:type="dxa"/>
              <w:start w:w="100" w:type="dxa"/>
              <w:bottom w:w="100" w:type="dxa"/>
              <w:end w:w="100" w:type="dxa"/>
            </w:tcMar>
            <w:vAlign w:val="center"/>
            <w:shd w:fill="EEF4FB"/>
          </w:tcPr>
          <w:p>
            <w:pPr>
              <w:pStyle w:val="BodySS"/>
              <w:jc w:val="center"/>
            </w:pPr>
            <w:r>
              <w:t>Usage analytics</w:t>
            </w:r>
          </w:p>
        </w:tc>
        <w:tc>
          <w:tcPr>
            <w:tcW w:type="dxa" w:w="5760"/>
            <w:tcMar>
              <w:top w:w="100" w:type="dxa"/>
              <w:start w:w="100" w:type="dxa"/>
              <w:bottom w:w="100" w:type="dxa"/>
              <w:end w:w="100" w:type="dxa"/>
            </w:tcMar>
            <w:vAlign w:val="center"/>
          </w:tcPr>
          <w:p>
            <w:pPr>
              <w:pStyle w:val="BodySS"/>
              <w:jc w:val="left"/>
            </w:pPr>
            <w:r>
              <w:t>Track which prompts are most used, which outputs are exported, and where users drop off or regenerate often.</w:t>
            </w:r>
          </w:p>
        </w:tc>
      </w:tr>
    </w:tbl>
    <w:p>
      <w:pPr>
        <w:pStyle w:val="SectionSS"/>
        <w:spacing w:before="200" w:after="80" w:line="276" w:lineRule="auto"/>
      </w:pPr>
      <w:r>
        <w:t>6.11 Bubble data objects required for Chapter 6</w:t>
      </w:r>
    </w:p>
    <w:p>
      <w:pPr>
        <w:pStyle w:val="BodySS"/>
        <w:spacing w:before="0" w:after="100" w:line="276" w:lineRule="auto"/>
      </w:pPr>
      <w:r>
        <w:t>The AI and insight layer requires a deliberate data model. Devansh should create a small but extensible set of intelligence-specific objects rather than stuffing generated text into generic notes fields.</w:t>
      </w:r>
    </w:p>
    <w:p>
      <w:pPr>
        <w:pStyle w:val="BodySS"/>
        <w:spacing w:before="0" w:after="40" w:line="276" w:lineRule="auto"/>
        <w:ind w:left="360" w:hanging="216"/>
      </w:pPr>
      <w:r>
        <w:t>• AI_Request: who requested, for what object, what question, which role, which challenge, provider, model, status, and latency metadata.</w:t>
      </w:r>
    </w:p>
    <w:p>
      <w:pPr>
        <w:pStyle w:val="BodySS"/>
        <w:spacing w:before="0" w:after="40" w:line="276" w:lineRule="auto"/>
        <w:ind w:left="360" w:hanging="216"/>
      </w:pPr>
      <w:r>
        <w:t>• AI_Response: generated output blocks, approval status, version number, editable rich text, and quality flags.</w:t>
      </w:r>
    </w:p>
    <w:p>
      <w:pPr>
        <w:pStyle w:val="BodySS"/>
        <w:spacing w:before="0" w:after="40" w:line="276" w:lineRule="auto"/>
        <w:ind w:left="360" w:hanging="216"/>
      </w:pPr>
      <w:r>
        <w:t>• AI_Template: prompt template record with purpose, version, allowed roles, provider family, and expected output schema.</w:t>
      </w:r>
    </w:p>
    <w:p>
      <w:pPr>
        <w:pStyle w:val="BodySS"/>
        <w:spacing w:before="0" w:after="40" w:line="276" w:lineRule="auto"/>
        <w:ind w:left="360" w:hanging="216"/>
      </w:pPr>
      <w:r>
        <w:t>• Assessment_Insight_Source: uploaded file or linked assessment summary used as the context artifact.</w:t>
      </w:r>
    </w:p>
    <w:p>
      <w:pPr>
        <w:pStyle w:val="BodySS"/>
        <w:spacing w:before="0" w:after="40" w:line="276" w:lineRule="auto"/>
        <w:ind w:left="360" w:hanging="216"/>
      </w:pPr>
      <w:r>
        <w:t>• AI_Output_Block: optional child record if outputs need sectioned rendering such as Summary, Risks, Rituals, Next 30 Days, Leader Communication.</w:t>
      </w:r>
    </w:p>
    <w:p>
      <w:pPr>
        <w:pStyle w:val="BodySS"/>
        <w:spacing w:before="0" w:after="40" w:line="276" w:lineRule="auto"/>
        <w:ind w:left="360" w:hanging="216"/>
      </w:pPr>
      <w:r>
        <w:t>• AI_Governance_Log: moderation notes, overrides, red flags, and approval history.</w:t>
      </w:r>
    </w:p>
    <w:p>
      <w:pPr>
        <w:pStyle w:val="SectionSS"/>
        <w:spacing w:before="200" w:after="80" w:line="276" w:lineRule="auto"/>
      </w:pPr>
      <w:r>
        <w:t>6.12 Acceptance criteria for Chapter 6 build</w:t>
      </w:r>
    </w:p>
    <w:p>
      <w:pPr>
        <w:pStyle w:val="BodySS"/>
        <w:spacing w:before="0" w:after="100" w:line="276" w:lineRule="auto"/>
      </w:pPr>
      <w:r>
        <w:t>The Chapter 6 architecture should be considered implemented only when the platform can demonstrate the following in a stable and auditable way.</w:t>
      </w:r>
    </w:p>
    <w:p>
      <w:pPr>
        <w:pStyle w:val="BodySS"/>
        <w:spacing w:before="0" w:after="40" w:line="276" w:lineRule="auto"/>
        <w:ind w:left="360" w:hanging="216"/>
      </w:pPr>
      <w:r>
        <w:t>• A client admin can upload an assessment-linked artifact and receive a structured answer from one of the approved standard dropdown questions.</w:t>
      </w:r>
    </w:p>
    <w:p>
      <w:pPr>
        <w:pStyle w:val="BodySS"/>
        <w:spacing w:before="0" w:after="40" w:line="276" w:lineRule="auto"/>
        <w:ind w:left="360" w:hanging="216"/>
      </w:pPr>
      <w:r>
        <w:t>• A learner can receive a lesson-level AI summary or revision aid without seeing an uncontrolled blank chatbot.</w:t>
      </w:r>
    </w:p>
    <w:p>
      <w:pPr>
        <w:pStyle w:val="BodySS"/>
        <w:spacing w:before="0" w:after="40" w:line="276" w:lineRule="auto"/>
        <w:ind w:left="360" w:hanging="216"/>
      </w:pPr>
      <w:r>
        <w:t>• A content admin can generate a quiz draft or summary from approved source material.</w:t>
      </w:r>
    </w:p>
    <w:p>
      <w:pPr>
        <w:pStyle w:val="BodySS"/>
        <w:spacing w:before="0" w:after="40" w:line="276" w:lineRule="auto"/>
        <w:ind w:left="360" w:hanging="216"/>
      </w:pPr>
      <w:r>
        <w:t>• An internal user such as a salesperson can generate a role-based output like a meeting brief or pitch preparation aid.</w:t>
      </w:r>
    </w:p>
    <w:p>
      <w:pPr>
        <w:pStyle w:val="BodySS"/>
        <w:spacing w:before="0" w:after="40" w:line="276" w:lineRule="auto"/>
        <w:ind w:left="360" w:hanging="216"/>
      </w:pPr>
      <w:r>
        <w:t>• Every AI request is logged with enough metadata to support audit, debugging, and prompt iteration.</w:t>
      </w:r>
    </w:p>
    <w:p>
      <w:pPr>
        <w:pStyle w:val="BodySS"/>
        <w:spacing w:before="0" w:after="40" w:line="276" w:lineRule="auto"/>
        <w:ind w:left="360" w:hanging="216"/>
      </w:pPr>
      <w:r>
        <w:t>• Generated outputs can be edited or approved by an authorized human user.</w:t>
      </w:r>
    </w:p>
    <w:p>
      <w:pPr>
        <w:pStyle w:val="BodySS"/>
        <w:spacing w:before="0" w:after="40" w:line="276" w:lineRule="auto"/>
        <w:ind w:left="360" w:hanging="216"/>
      </w:pPr>
      <w:r>
        <w:t>• The implementation is provider-flexible enough to swap or route models without redesigning page logic.</w:t>
      </w:r>
    </w:p>
    <w:p>
      <w:pPr>
        <w:pStyle w:val="SectionSS"/>
        <w:spacing w:before="200" w:after="80" w:line="276" w:lineRule="auto"/>
      </w:pPr>
      <w:r>
        <w:t>6.13 Chapter 6 decisions now locked</w:t>
      </w:r>
    </w:p>
    <w:p>
      <w:pPr>
        <w:pStyle w:val="BodySS"/>
        <w:spacing w:before="0" w:after="100" w:line="276" w:lineRule="auto"/>
      </w:pPr>
      <w:r>
        <w:t>The following decisions should now be treated as fixed unless the product owner explicitly changes them later.</w:t>
      </w:r>
    </w:p>
    <w:p>
      <w:pPr>
        <w:pStyle w:val="BodySS"/>
        <w:spacing w:before="0" w:after="40" w:line="276" w:lineRule="auto"/>
        <w:ind w:left="360" w:hanging="216"/>
      </w:pPr>
      <w:r>
        <w:t>• Edge LMS will use guided AI rather than a general-purpose open prompt experience for most client users.</w:t>
      </w:r>
    </w:p>
    <w:p>
      <w:pPr>
        <w:pStyle w:val="BodySS"/>
        <w:spacing w:before="0" w:after="40" w:line="276" w:lineRule="auto"/>
        <w:ind w:left="360" w:hanging="216"/>
      </w:pPr>
      <w:r>
        <w:t>• Assessment-linked insights belong inside the LMS; full psychometric and 360 engines do not.</w:t>
      </w:r>
    </w:p>
    <w:p>
      <w:pPr>
        <w:pStyle w:val="BodySS"/>
        <w:spacing w:before="0" w:after="40" w:line="276" w:lineRule="auto"/>
        <w:ind w:left="360" w:hanging="216"/>
      </w:pPr>
      <w:r>
        <w:t>• AI outputs should be stored as records and versioned where needed, not just rendered on screen and discarded.</w:t>
      </w:r>
    </w:p>
    <w:p>
      <w:pPr>
        <w:pStyle w:val="BodySS"/>
        <w:spacing w:before="0" w:after="40" w:line="276" w:lineRule="auto"/>
        <w:ind w:left="360" w:hanging="216"/>
      </w:pPr>
      <w:r>
        <w:t>• The AI layer must support internal enablement use cases in addition to learner support.</w:t>
      </w:r>
    </w:p>
    <w:p>
      <w:pPr>
        <w:pStyle w:val="BodySS"/>
        <w:spacing w:before="0" w:after="40" w:line="276" w:lineRule="auto"/>
        <w:ind w:left="360" w:hanging="216"/>
      </w:pPr>
      <w:r>
        <w:t>• Governance, moderation, and logging are mandatory, not optional.</w:t>
      </w:r>
    </w:p>
    <w:p>
      <w:pPr>
        <w:pStyle w:val="BodySS"/>
        <w:spacing w:before="0" w:after="40" w:line="276" w:lineRule="auto"/>
        <w:ind w:left="360" w:hanging="216"/>
      </w:pPr>
      <w:r>
        <w:t>• Devansh should build a provider-abstracted AI service workflow rather than endpoint-specific page logic.</w:t>
      </w:r>
    </w:p>
    <w:p>
      <w:pPr>
        <w:pStyle w:val="SectionSS"/>
        <w:spacing w:before="240" w:after="80" w:line="276" w:lineRule="auto"/>
      </w:pPr>
      <w:r>
        <w:t>What Chapter 7 will cover</w:t>
      </w:r>
    </w:p>
    <w:p>
      <w:pPr>
        <w:pStyle w:val="BodySS"/>
        <w:spacing w:before="0" w:after="80" w:line="276" w:lineRule="auto"/>
      </w:pPr>
      <w:r>
        <w:t>Chapter 7 should define the reporting, analytics, heat maps, and culture-journey intelligence layer in full detail, including metric definitions, dashboard inventory, cohort comparisons, exports, trend analysis, and the way Strengthscape consultants should use data to run long-term interventions.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SS"/>
      <w:jc w:val="center"/>
    </w:pPr>
    <w:r>
      <w:t>Strengthscape | Developer-facing specification for Bubble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SS"/>
      <w:jc w:val="right"/>
    </w:pPr>
    <w:r>
      <w:t>Edge LMS 2030 — Chapter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S">
    <w:name w:val="Title SS"/>
    <w:rPr>
      <w:rFonts w:ascii="Aptos" w:hAnsi="Aptos"/>
      <w:b/>
      <w:color w:val="1F4E79"/>
      <w:sz w:val="48"/>
    </w:rPr>
  </w:style>
  <w:style w:type="paragraph" w:customStyle="1" w:styleId="SubtitleSS">
    <w:name w:val="Subtitle SS"/>
    <w:rPr>
      <w:rFonts w:ascii="Aptos" w:hAnsi="Aptos"/>
      <w:i/>
      <w:color w:val="5A5A5A"/>
      <w:sz w:val="22"/>
    </w:rPr>
  </w:style>
  <w:style w:type="paragraph" w:customStyle="1" w:styleId="SectionSS">
    <w:name w:val="Section SS"/>
    <w:rPr>
      <w:rFonts w:ascii="Aptos" w:hAnsi="Aptos"/>
      <w:b/>
      <w:color w:val="2E5496"/>
      <w:sz w:val="32"/>
    </w:rPr>
  </w:style>
  <w:style w:type="paragraph" w:customStyle="1" w:styleId="SubsectionSS">
    <w:name w:val="Subsection SS"/>
    <w:rPr>
      <w:rFonts w:ascii="Aptos" w:hAnsi="Aptos"/>
      <w:b/>
      <w:color w:val="1F1F1F"/>
      <w:sz w:val="24"/>
    </w:rPr>
  </w:style>
  <w:style w:type="paragraph" w:customStyle="1" w:styleId="BodySS">
    <w:name w:val="Body SS"/>
    <w:rPr>
      <w:rFonts w:ascii="Aptos" w:hAnsi="Aptos"/>
      <w:color w:val="2D2D2D"/>
      <w:sz w:val="21"/>
    </w:rPr>
  </w:style>
  <w:style w:type="paragraph" w:customStyle="1" w:styleId="SmallSS">
    <w:name w:val="Small SS"/>
    <w:rPr>
      <w:rFonts w:ascii="Aptos" w:hAnsi="Aptos"/>
      <w:color w:val="555555"/>
      <w:sz w:val="18"/>
    </w:rPr>
  </w:style>
  <w:style w:type="paragraph" w:customStyle="1" w:styleId="TableHeadSS">
    <w:name w:val="TableHead SS"/>
    <w:rPr>
      <w:rFonts w:ascii="Aptos" w:hAnsi="Aptos"/>
      <w:b/>
      <w:color w:val="FFFFFF"/>
      <w:sz w:val="19"/>
    </w:rPr>
  </w:style>
  <w:style w:type="paragraph" w:customStyle="1" w:styleId="CalloutSS">
    <w:name w:val="Callout SS"/>
    <w:rPr>
      <w:rFonts w:ascii="Aptos" w:hAnsi="Aptos"/>
      <w:b/>
      <w:color w:val="1F4E7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