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i w:val="0"/>
          <w:color w:val="21405F"/>
          <w:sz w:val="48"/>
        </w:rPr>
        <w:t>Edge LMS 2030</w:t>
      </w:r>
    </w:p>
    <w:p>
      <w:pPr>
        <w:jc w:val="center"/>
      </w:pPr>
      <w:r>
        <w:rPr>
          <w:rFonts w:ascii="Aptos" w:hAnsi="Aptos"/>
          <w:b/>
          <w:i w:val="0"/>
          <w:color w:val="415F7D"/>
          <w:sz w:val="28"/>
        </w:rPr>
        <w:t>Chapter 7</w:t>
      </w:r>
    </w:p>
    <w:p>
      <w:pPr>
        <w:jc w:val="center"/>
      </w:pPr>
      <w:r>
        <w:rPr>
          <w:rFonts w:ascii="Aptos" w:hAnsi="Aptos"/>
          <w:b/>
          <w:i w:val="0"/>
          <w:color w:val="21405F"/>
          <w:sz w:val="34"/>
        </w:rPr>
        <w:t>Reporting, Analytics, Heat Maps, and Insight Dashboard Architecture</w:t>
      </w:r>
    </w:p>
    <w:p>
      <w:pPr>
        <w:jc w:val="center"/>
      </w:pPr>
      <w:r>
        <w:rPr>
          <w:rFonts w:ascii="Aptos" w:hAnsi="Aptos"/>
          <w:b w:val="0"/>
          <w:i/>
          <w:color w:val="000000"/>
          <w:sz w:val="22"/>
        </w:rPr>
        <w:t>Developer-facing specification for Bubble implementation of learner reporting, client analytics, consulting dashboards, executive views, and long-term culture insight tracking.</w:t>
      </w:r>
    </w:p>
    <w:p>
      <w:pPr>
        <w:jc w:val="center"/>
      </w:pPr>
      <w:r>
        <w:rPr>
          <w:rFonts w:ascii="Aptos" w:hAnsi="Aptos"/>
          <w:b w:val="0"/>
          <w:i w:val="0"/>
          <w:color w:val="5A5A5A"/>
          <w:sz w:val="21"/>
        </w:rPr>
        <w:t>Prepared for Bubble-based development by Devansh with a minimal-code, API-first, AI-assisted build doctrine.</w:t>
      </w:r>
    </w:p>
    <w:p/>
    <w:p>
      <w:pPr>
        <w:pStyle w:val="Heading1"/>
      </w:pPr>
      <w:r>
        <w:t>7.1 Overview chart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40"/>
            </w:pPr>
            <w:r>
              <w:rPr>
                <w:b/>
                <w:color w:val="21405F"/>
              </w:rPr>
            </w:r>
            <w:r>
              <w:rPr>
                <w:rFonts w:ascii="Aptos" w:hAnsi="Aptos"/>
                <w:b/>
                <w:color w:val="21405F"/>
                <w:sz w:val="20"/>
              </w:rPr>
              <w:t>Reporting Layer</w:t>
            </w:r>
          </w:p>
        </w:tc>
        <w:tc>
          <w:tcPr>
            <w:tcW w:type="dxa" w:w="1958"/>
            <w:vAlign w:val="center"/>
            <w:shd w:fill="D9EAF7"/>
          </w:tcPr>
          <w:p>
            <w:pPr>
              <w:spacing w:after="40"/>
            </w:pPr>
            <w:r>
              <w:rPr>
                <w:b/>
                <w:color w:val="21405F"/>
              </w:rPr>
            </w:r>
            <w:r>
              <w:rPr>
                <w:rFonts w:ascii="Aptos" w:hAnsi="Aptos"/>
                <w:b/>
                <w:color w:val="21405F"/>
                <w:sz w:val="20"/>
              </w:rPr>
              <w:t>Primary Audience</w:t>
            </w:r>
          </w:p>
        </w:tc>
        <w:tc>
          <w:tcPr>
            <w:tcW w:type="dxa" w:w="1958"/>
            <w:vAlign w:val="center"/>
            <w:shd w:fill="D9EAF7"/>
          </w:tcPr>
          <w:p>
            <w:pPr>
              <w:spacing w:after="40"/>
            </w:pPr>
            <w:r>
              <w:rPr>
                <w:b/>
                <w:color w:val="21405F"/>
              </w:rPr>
            </w:r>
            <w:r>
              <w:rPr>
                <w:rFonts w:ascii="Aptos" w:hAnsi="Aptos"/>
                <w:b/>
                <w:color w:val="21405F"/>
                <w:sz w:val="20"/>
              </w:rPr>
              <w:t>Core Metrics</w:t>
            </w:r>
          </w:p>
        </w:tc>
        <w:tc>
          <w:tcPr>
            <w:tcW w:type="dxa" w:w="1958"/>
            <w:vAlign w:val="center"/>
            <w:shd w:fill="D9EAF7"/>
          </w:tcPr>
          <w:p>
            <w:pPr>
              <w:spacing w:after="40"/>
            </w:pPr>
            <w:r>
              <w:rPr>
                <w:b/>
                <w:color w:val="21405F"/>
              </w:rPr>
            </w:r>
            <w:r>
              <w:rPr>
                <w:rFonts w:ascii="Aptos" w:hAnsi="Aptos"/>
                <w:b/>
                <w:color w:val="21405F"/>
                <w:sz w:val="20"/>
              </w:rPr>
              <w:t>Bubble vs External</w:t>
            </w:r>
          </w:p>
        </w:tc>
        <w:tc>
          <w:tcPr>
            <w:tcW w:type="dxa" w:w="1958"/>
            <w:vAlign w:val="center"/>
            <w:shd w:fill="D9EAF7"/>
          </w:tcPr>
          <w:p>
            <w:pPr>
              <w:spacing w:after="40"/>
            </w:pPr>
            <w:r>
              <w:rPr>
                <w:b/>
                <w:color w:val="21405F"/>
              </w:rPr>
            </w:r>
            <w:r>
              <w:rPr>
                <w:rFonts w:ascii="Aptos" w:hAnsi="Aptos"/>
                <w:b/>
                <w:color w:val="21405F"/>
                <w:sz w:val="20"/>
              </w:rPr>
              <w:t>Strategic Value</w:t>
            </w:r>
          </w:p>
        </w:tc>
      </w:tr>
      <w:tr>
        <w:tc>
          <w:tcPr>
            <w:tcW w:type="dxa" w:w="1958"/>
            <w:vAlign w:val="center"/>
          </w:tcPr>
          <w:p>
            <w:pPr>
              <w:spacing w:after="40"/>
            </w:pPr>
            <w:r/>
            <w:r>
              <w:rPr>
                <w:rFonts w:ascii="Aptos" w:hAnsi="Aptos"/>
                <w:b w:val="0"/>
                <w:sz w:val="20"/>
              </w:rPr>
              <w:t>Learner Progress Reporting</w:t>
            </w:r>
          </w:p>
        </w:tc>
        <w:tc>
          <w:tcPr>
            <w:tcW w:type="dxa" w:w="1958"/>
            <w:vAlign w:val="center"/>
          </w:tcPr>
          <w:p>
            <w:pPr>
              <w:spacing w:after="40"/>
            </w:pPr>
            <w:r/>
            <w:r>
              <w:rPr>
                <w:rFonts w:ascii="Aptos" w:hAnsi="Aptos"/>
                <w:b w:val="0"/>
                <w:sz w:val="20"/>
              </w:rPr>
              <w:t>Learner, manager</w:t>
            </w:r>
          </w:p>
        </w:tc>
        <w:tc>
          <w:tcPr>
            <w:tcW w:type="dxa" w:w="1958"/>
            <w:vAlign w:val="center"/>
          </w:tcPr>
          <w:p>
            <w:pPr>
              <w:spacing w:after="40"/>
            </w:pPr>
            <w:r/>
            <w:r>
              <w:rPr>
                <w:rFonts w:ascii="Aptos" w:hAnsi="Aptos"/>
                <w:b w:val="0"/>
                <w:sz w:val="20"/>
              </w:rPr>
              <w:t>completion, due status, certificates, scores</w:t>
            </w:r>
          </w:p>
        </w:tc>
        <w:tc>
          <w:tcPr>
            <w:tcW w:type="dxa" w:w="1958"/>
            <w:vAlign w:val="center"/>
          </w:tcPr>
          <w:p>
            <w:pPr>
              <w:spacing w:after="40"/>
            </w:pPr>
            <w:r/>
            <w:r>
              <w:rPr>
                <w:rFonts w:ascii="Aptos" w:hAnsi="Aptos"/>
                <w:b w:val="0"/>
                <w:sz w:val="20"/>
              </w:rPr>
              <w:t>Bubble-native</w:t>
            </w:r>
          </w:p>
        </w:tc>
        <w:tc>
          <w:tcPr>
            <w:tcW w:type="dxa" w:w="1958"/>
            <w:vAlign w:val="center"/>
          </w:tcPr>
          <w:p>
            <w:pPr>
              <w:spacing w:after="40"/>
            </w:pPr>
            <w:r/>
            <w:r>
              <w:rPr>
                <w:rFonts w:ascii="Aptos" w:hAnsi="Aptos"/>
                <w:b w:val="0"/>
                <w:sz w:val="20"/>
              </w:rPr>
              <w:t>drives adoption</w:t>
            </w:r>
          </w:p>
        </w:tc>
      </w:tr>
      <w:tr>
        <w:tc>
          <w:tcPr>
            <w:tcW w:type="dxa" w:w="1958"/>
            <w:vAlign w:val="center"/>
          </w:tcPr>
          <w:p>
            <w:pPr>
              <w:spacing w:after="40"/>
            </w:pPr>
            <w:r/>
            <w:r>
              <w:rPr>
                <w:rFonts w:ascii="Aptos" w:hAnsi="Aptos"/>
                <w:b w:val="0"/>
                <w:sz w:val="20"/>
              </w:rPr>
              <w:t>Client Admin Analytics</w:t>
            </w:r>
          </w:p>
        </w:tc>
        <w:tc>
          <w:tcPr>
            <w:tcW w:type="dxa" w:w="1958"/>
            <w:vAlign w:val="center"/>
          </w:tcPr>
          <w:p>
            <w:pPr>
              <w:spacing w:after="40"/>
            </w:pPr>
            <w:r/>
            <w:r>
              <w:rPr>
                <w:rFonts w:ascii="Aptos" w:hAnsi="Aptos"/>
                <w:b w:val="0"/>
                <w:sz w:val="20"/>
              </w:rPr>
              <w:t>HR, L&amp;D, client admin</w:t>
            </w:r>
          </w:p>
        </w:tc>
        <w:tc>
          <w:tcPr>
            <w:tcW w:type="dxa" w:w="1958"/>
            <w:vAlign w:val="center"/>
          </w:tcPr>
          <w:p>
            <w:pPr>
              <w:spacing w:after="40"/>
            </w:pPr>
            <w:r/>
            <w:r>
              <w:rPr>
                <w:rFonts w:ascii="Aptos" w:hAnsi="Aptos"/>
                <w:b w:val="0"/>
                <w:sz w:val="20"/>
              </w:rPr>
              <w:t>team completion, usage, risk, exports</w:t>
            </w:r>
          </w:p>
        </w:tc>
        <w:tc>
          <w:tcPr>
            <w:tcW w:type="dxa" w:w="1958"/>
            <w:vAlign w:val="center"/>
          </w:tcPr>
          <w:p>
            <w:pPr>
              <w:spacing w:after="40"/>
            </w:pPr>
            <w:r/>
            <w:r>
              <w:rPr>
                <w:rFonts w:ascii="Aptos" w:hAnsi="Aptos"/>
                <w:b w:val="0"/>
                <w:sz w:val="20"/>
              </w:rPr>
              <w:t>Bubble-native with scheduled summaries</w:t>
            </w:r>
          </w:p>
        </w:tc>
        <w:tc>
          <w:tcPr>
            <w:tcW w:type="dxa" w:w="1958"/>
            <w:vAlign w:val="center"/>
          </w:tcPr>
          <w:p>
            <w:pPr>
              <w:spacing w:after="40"/>
            </w:pPr>
            <w:r/>
            <w:r>
              <w:rPr>
                <w:rFonts w:ascii="Aptos" w:hAnsi="Aptos"/>
                <w:b w:val="0"/>
                <w:sz w:val="20"/>
              </w:rPr>
              <w:t>supports governance</w:t>
            </w:r>
          </w:p>
        </w:tc>
      </w:tr>
      <w:tr>
        <w:tc>
          <w:tcPr>
            <w:tcW w:type="dxa" w:w="1958"/>
            <w:vAlign w:val="center"/>
          </w:tcPr>
          <w:p>
            <w:pPr>
              <w:spacing w:after="40"/>
            </w:pPr>
            <w:r/>
            <w:r>
              <w:rPr>
                <w:rFonts w:ascii="Aptos" w:hAnsi="Aptos"/>
                <w:b w:val="0"/>
                <w:sz w:val="20"/>
              </w:rPr>
              <w:t>Heat Maps</w:t>
            </w:r>
          </w:p>
        </w:tc>
        <w:tc>
          <w:tcPr>
            <w:tcW w:type="dxa" w:w="1958"/>
            <w:vAlign w:val="center"/>
          </w:tcPr>
          <w:p>
            <w:pPr>
              <w:spacing w:after="40"/>
            </w:pPr>
            <w:r/>
            <w:r>
              <w:rPr>
                <w:rFonts w:ascii="Aptos" w:hAnsi="Aptos"/>
                <w:b w:val="0"/>
                <w:sz w:val="20"/>
              </w:rPr>
              <w:t>Client admin, consultant</w:t>
            </w:r>
          </w:p>
        </w:tc>
        <w:tc>
          <w:tcPr>
            <w:tcW w:type="dxa" w:w="1958"/>
            <w:vAlign w:val="center"/>
          </w:tcPr>
          <w:p>
            <w:pPr>
              <w:spacing w:after="40"/>
            </w:pPr>
            <w:r/>
            <w:r>
              <w:rPr>
                <w:rFonts w:ascii="Aptos" w:hAnsi="Aptos"/>
                <w:b w:val="0"/>
                <w:sz w:val="20"/>
              </w:rPr>
              <w:t>team, role, function, cohort patterns</w:t>
            </w:r>
          </w:p>
        </w:tc>
        <w:tc>
          <w:tcPr>
            <w:tcW w:type="dxa" w:w="1958"/>
            <w:vAlign w:val="center"/>
          </w:tcPr>
          <w:p>
            <w:pPr>
              <w:spacing w:after="40"/>
            </w:pPr>
            <w:r/>
            <w:r>
              <w:rPr>
                <w:rFonts w:ascii="Aptos" w:hAnsi="Aptos"/>
                <w:b w:val="0"/>
                <w:sz w:val="20"/>
              </w:rPr>
              <w:t>Bubble UI + precomputed metrics</w:t>
            </w:r>
          </w:p>
        </w:tc>
        <w:tc>
          <w:tcPr>
            <w:tcW w:type="dxa" w:w="1958"/>
            <w:vAlign w:val="center"/>
          </w:tcPr>
          <w:p>
            <w:pPr>
              <w:spacing w:after="40"/>
            </w:pPr>
            <w:r/>
            <w:r>
              <w:rPr>
                <w:rFonts w:ascii="Aptos" w:hAnsi="Aptos"/>
                <w:b w:val="0"/>
                <w:sz w:val="20"/>
              </w:rPr>
              <w:t>reveals patterns</w:t>
            </w:r>
          </w:p>
        </w:tc>
      </w:tr>
      <w:tr>
        <w:tc>
          <w:tcPr>
            <w:tcW w:type="dxa" w:w="1958"/>
            <w:vAlign w:val="center"/>
          </w:tcPr>
          <w:p>
            <w:pPr>
              <w:spacing w:after="40"/>
            </w:pPr>
            <w:r/>
            <w:r>
              <w:rPr>
                <w:rFonts w:ascii="Aptos" w:hAnsi="Aptos"/>
                <w:b w:val="0"/>
                <w:sz w:val="20"/>
              </w:rPr>
              <w:t>Consulting Dashboards</w:t>
            </w:r>
          </w:p>
        </w:tc>
        <w:tc>
          <w:tcPr>
            <w:tcW w:type="dxa" w:w="1958"/>
            <w:vAlign w:val="center"/>
          </w:tcPr>
          <w:p>
            <w:pPr>
              <w:spacing w:after="40"/>
            </w:pPr>
            <w:r/>
            <w:r>
              <w:rPr>
                <w:rFonts w:ascii="Aptos" w:hAnsi="Aptos"/>
                <w:b w:val="0"/>
                <w:sz w:val="20"/>
              </w:rPr>
              <w:t>Strengthscape consultant</w:t>
            </w:r>
          </w:p>
        </w:tc>
        <w:tc>
          <w:tcPr>
            <w:tcW w:type="dxa" w:w="1958"/>
            <w:vAlign w:val="center"/>
          </w:tcPr>
          <w:p>
            <w:pPr>
              <w:spacing w:after="40"/>
            </w:pPr>
            <w:r/>
            <w:r>
              <w:rPr>
                <w:rFonts w:ascii="Aptos" w:hAnsi="Aptos"/>
                <w:b w:val="0"/>
                <w:sz w:val="20"/>
              </w:rPr>
              <w:t>journey trends, intervention needs, action clusters</w:t>
            </w:r>
          </w:p>
        </w:tc>
        <w:tc>
          <w:tcPr>
            <w:tcW w:type="dxa" w:w="1958"/>
            <w:vAlign w:val="center"/>
          </w:tcPr>
          <w:p>
            <w:pPr>
              <w:spacing w:after="40"/>
            </w:pPr>
            <w:r/>
            <w:r>
              <w:rPr>
                <w:rFonts w:ascii="Aptos" w:hAnsi="Aptos"/>
                <w:b w:val="0"/>
                <w:sz w:val="20"/>
              </w:rPr>
              <w:t>Bubble + optional AI summarisation</w:t>
            </w:r>
          </w:p>
        </w:tc>
        <w:tc>
          <w:tcPr>
            <w:tcW w:type="dxa" w:w="1958"/>
            <w:vAlign w:val="center"/>
          </w:tcPr>
          <w:p>
            <w:pPr>
              <w:spacing w:after="40"/>
            </w:pPr>
            <w:r/>
            <w:r>
              <w:rPr>
                <w:rFonts w:ascii="Aptos" w:hAnsi="Aptos"/>
                <w:b w:val="0"/>
                <w:sz w:val="20"/>
              </w:rPr>
              <w:t>creates leverage</w:t>
            </w:r>
          </w:p>
        </w:tc>
      </w:tr>
      <w:tr>
        <w:tc>
          <w:tcPr>
            <w:tcW w:type="dxa" w:w="1958"/>
            <w:vAlign w:val="center"/>
          </w:tcPr>
          <w:p>
            <w:pPr>
              <w:spacing w:after="40"/>
            </w:pPr>
            <w:r/>
            <w:r>
              <w:rPr>
                <w:rFonts w:ascii="Aptos" w:hAnsi="Aptos"/>
                <w:b w:val="0"/>
                <w:sz w:val="20"/>
              </w:rPr>
              <w:t>Executive Dashboards</w:t>
            </w:r>
          </w:p>
        </w:tc>
        <w:tc>
          <w:tcPr>
            <w:tcW w:type="dxa" w:w="1958"/>
            <w:vAlign w:val="center"/>
          </w:tcPr>
          <w:p>
            <w:pPr>
              <w:spacing w:after="40"/>
            </w:pPr>
            <w:r/>
            <w:r>
              <w:rPr>
                <w:rFonts w:ascii="Aptos" w:hAnsi="Aptos"/>
                <w:b w:val="0"/>
                <w:sz w:val="20"/>
              </w:rPr>
              <w:t>Client sponsor, leadership</w:t>
            </w:r>
          </w:p>
        </w:tc>
        <w:tc>
          <w:tcPr>
            <w:tcW w:type="dxa" w:w="1958"/>
            <w:vAlign w:val="center"/>
          </w:tcPr>
          <w:p>
            <w:pPr>
              <w:spacing w:after="40"/>
            </w:pPr>
            <w:r/>
            <w:r>
              <w:rPr>
                <w:rFonts w:ascii="Aptos" w:hAnsi="Aptos"/>
                <w:b w:val="0"/>
                <w:sz w:val="20"/>
              </w:rPr>
              <w:t>high-level adoption, capability risk, progress signals</w:t>
            </w:r>
          </w:p>
        </w:tc>
        <w:tc>
          <w:tcPr>
            <w:tcW w:type="dxa" w:w="1958"/>
            <w:vAlign w:val="center"/>
          </w:tcPr>
          <w:p>
            <w:pPr>
              <w:spacing w:after="40"/>
            </w:pPr>
            <w:r/>
            <w:r>
              <w:rPr>
                <w:rFonts w:ascii="Aptos" w:hAnsi="Aptos"/>
                <w:b w:val="0"/>
                <w:sz w:val="20"/>
              </w:rPr>
              <w:t>Bubble-native curated view</w:t>
            </w:r>
          </w:p>
        </w:tc>
        <w:tc>
          <w:tcPr>
            <w:tcW w:type="dxa" w:w="1958"/>
            <w:vAlign w:val="center"/>
          </w:tcPr>
          <w:p>
            <w:pPr>
              <w:spacing w:after="40"/>
            </w:pPr>
            <w:r/>
            <w:r>
              <w:rPr>
                <w:rFonts w:ascii="Aptos" w:hAnsi="Aptos"/>
                <w:b w:val="0"/>
                <w:sz w:val="20"/>
              </w:rPr>
              <w:t>supports sponsor communication</w:t>
            </w:r>
          </w:p>
        </w:tc>
      </w:tr>
      <w:tr>
        <w:tc>
          <w:tcPr>
            <w:tcW w:type="dxa" w:w="1958"/>
            <w:vAlign w:val="center"/>
          </w:tcPr>
          <w:p>
            <w:pPr>
              <w:spacing w:after="40"/>
            </w:pPr>
            <w:r/>
            <w:r>
              <w:rPr>
                <w:rFonts w:ascii="Aptos" w:hAnsi="Aptos"/>
                <w:b w:val="0"/>
                <w:sz w:val="20"/>
              </w:rPr>
              <w:t>Data Exports and Scheduled Reports</w:t>
            </w:r>
          </w:p>
        </w:tc>
        <w:tc>
          <w:tcPr>
            <w:tcW w:type="dxa" w:w="1958"/>
            <w:vAlign w:val="center"/>
          </w:tcPr>
          <w:p>
            <w:pPr>
              <w:spacing w:after="40"/>
            </w:pPr>
            <w:r/>
            <w:r>
              <w:rPr>
                <w:rFonts w:ascii="Aptos" w:hAnsi="Aptos"/>
                <w:b w:val="0"/>
                <w:sz w:val="20"/>
              </w:rPr>
              <w:t>Ops, admin, client</w:t>
            </w:r>
          </w:p>
        </w:tc>
        <w:tc>
          <w:tcPr>
            <w:tcW w:type="dxa" w:w="1958"/>
            <w:vAlign w:val="center"/>
          </w:tcPr>
          <w:p>
            <w:pPr>
              <w:spacing w:after="40"/>
            </w:pPr>
            <w:r/>
            <w:r>
              <w:rPr>
                <w:rFonts w:ascii="Aptos" w:hAnsi="Aptos"/>
                <w:b w:val="0"/>
                <w:sz w:val="20"/>
              </w:rPr>
              <w:t>CSV/PDF/email snapshots</w:t>
            </w:r>
          </w:p>
        </w:tc>
        <w:tc>
          <w:tcPr>
            <w:tcW w:type="dxa" w:w="1958"/>
            <w:vAlign w:val="center"/>
          </w:tcPr>
          <w:p>
            <w:pPr>
              <w:spacing w:after="40"/>
            </w:pPr>
            <w:r/>
            <w:r>
              <w:rPr>
                <w:rFonts w:ascii="Aptos" w:hAnsi="Aptos"/>
                <w:b w:val="0"/>
                <w:sz w:val="20"/>
              </w:rPr>
              <w:t>Bubble + Make</w:t>
            </w:r>
          </w:p>
        </w:tc>
        <w:tc>
          <w:tcPr>
            <w:tcW w:type="dxa" w:w="1958"/>
            <w:vAlign w:val="center"/>
          </w:tcPr>
          <w:p>
            <w:pPr>
              <w:spacing w:after="40"/>
            </w:pPr>
            <w:r/>
            <w:r>
              <w:rPr>
                <w:rFonts w:ascii="Aptos" w:hAnsi="Aptos"/>
                <w:b w:val="0"/>
                <w:sz w:val="20"/>
              </w:rPr>
              <w:t>reduces manual effort</w:t>
            </w:r>
          </w:p>
        </w:tc>
      </w:tr>
    </w:tbl>
    <w:p>
      <w:pPr>
        <w:pStyle w:val="Heading1"/>
      </w:pPr>
      <w:r>
        <w:t>7.2 Why this chapter matters</w:t>
      </w:r>
    </w:p>
    <w:p>
      <w:r>
        <w:t>If Chapter 6 defined the intelligence layer, Chapter 7 defines the evidence layer. A 2030-ready LMS cannot stop at course access and completion badges. It must show who is progressing, where engagement is dropping, which cohorts are at risk, what themes are emerging across functions, and how learning data should inform next actions.</w:t>
      </w:r>
    </w:p>
    <w:p>
      <w:r>
        <w:t>For Strengthscape, reporting is not only an operational requirement. It is also a consulting asset. The same platform must serve learner accountability, client governance, and strategic interpretation over time.</w:t>
      </w:r>
    </w:p>
    <w:p>
      <w:r>
        <w:t>Design doctrine for this chapter:</w:t>
      </w:r>
    </w:p>
    <w:p>
      <w:pPr>
        <w:pStyle w:val="ListBullet"/>
      </w:pPr>
      <w:r>
        <w:t>Make operational reporting fast, filterable, and exportable.</w:t>
      </w:r>
    </w:p>
    <w:p>
      <w:pPr>
        <w:pStyle w:val="ListBullet"/>
      </w:pPr>
      <w:r>
        <w:t>Make pattern recognition visual through heat maps and cohort comparisons.</w:t>
      </w:r>
    </w:p>
    <w:p>
      <w:pPr>
        <w:pStyle w:val="ListBullet"/>
      </w:pPr>
      <w:r>
        <w:t>Separate learner-facing simplicity from admin-facing depth.</w:t>
      </w:r>
    </w:p>
    <w:p>
      <w:pPr>
        <w:pStyle w:val="ListBullet"/>
      </w:pPr>
      <w:r>
        <w:t>Support both live dashboards and scheduled summary outputs.</w:t>
      </w:r>
    </w:p>
    <w:p>
      <w:pPr>
        <w:pStyle w:val="ListBullet"/>
      </w:pPr>
      <w:r>
        <w:t>Store enough structured data to enable future AI-generated insights without rebuilding the platform.</w:t>
      </w:r>
    </w:p>
    <w:p>
      <w:pPr>
        <w:pStyle w:val="Heading1"/>
      </w:pPr>
      <w:r>
        <w:t>7.3 Reporting philosophy for Edge LMS</w:t>
      </w:r>
    </w:p>
    <w:p>
      <w:r>
        <w:t>Edge LMS should be designed around a layered reporting philosophy. Not every user should see the same density of information, and not every metric should be calculated in real time. The platform should deliberately distinguish between operational views, management views, consulting views, and executive summaries.</w:t>
      </w:r>
    </w:p>
    <w:p>
      <w:pPr>
        <w:pStyle w:val="ListNumber"/>
      </w:pPr>
      <w:r>
        <w:t>Operational: Who has started, who is overdue, what is complete, what is missing?</w:t>
      </w:r>
    </w:p>
    <w:p>
      <w:pPr>
        <w:pStyle w:val="ListNumber"/>
      </w:pPr>
      <w:r>
        <w:t>Managerial: Which teams or managers are seeing weak adoption or poor follow-through?</w:t>
      </w:r>
    </w:p>
    <w:p>
      <w:pPr>
        <w:pStyle w:val="ListNumber"/>
      </w:pPr>
      <w:r>
        <w:t>Consulting: What patterns suggest a capability gap, implementation problem, or reinforcement need?</w:t>
      </w:r>
    </w:p>
    <w:p>
      <w:pPr>
        <w:pStyle w:val="ListNumber"/>
      </w:pPr>
      <w:r>
        <w:t>Strategic: What trends over time can be presented to client leadership as evidence of movement or risk?</w:t>
      </w:r>
    </w:p>
    <w:p>
      <w:r>
        <w:t>This layered reporting philosophy should inform every metric, dashboard, and export.</w:t>
      </w:r>
    </w:p>
    <w:p>
      <w:pPr>
        <w:pStyle w:val="Heading1"/>
      </w:pPr>
      <w:r>
        <w:t>7.4 Reporting tiers and user-specific dashboards</w:t>
      </w:r>
    </w:p>
    <w:p>
      <w:r>
        <w:t>Devansh should implement reporting in tiers so page complexity stays manageable and permissions stay clear. A single mega-dashboard is the wrong pattern for Bubble because it becomes difficult to filter, expensive to query, and confusing for users.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40"/>
            </w:pPr>
            <w:r>
              <w:rPr>
                <w:b/>
                <w:color w:val="21405F"/>
              </w:rPr>
            </w:r>
            <w:r>
              <w:rPr>
                <w:rFonts w:ascii="Aptos" w:hAnsi="Aptos"/>
                <w:b/>
                <w:color w:val="21405F"/>
                <w:sz w:val="20"/>
              </w:rPr>
              <w:t>Dashboard Tier</w:t>
            </w:r>
          </w:p>
        </w:tc>
        <w:tc>
          <w:tcPr>
            <w:tcW w:type="dxa" w:w="2448"/>
            <w:vAlign w:val="center"/>
            <w:shd w:fill="D9EAF7"/>
          </w:tcPr>
          <w:p>
            <w:pPr>
              <w:spacing w:after="40"/>
            </w:pPr>
            <w:r>
              <w:rPr>
                <w:b/>
                <w:color w:val="21405F"/>
              </w:rPr>
            </w:r>
            <w:r>
              <w:rPr>
                <w:rFonts w:ascii="Aptos" w:hAnsi="Aptos"/>
                <w:b/>
                <w:color w:val="21405F"/>
                <w:sz w:val="20"/>
              </w:rPr>
              <w:t>Primary User</w:t>
            </w:r>
          </w:p>
        </w:tc>
        <w:tc>
          <w:tcPr>
            <w:tcW w:type="dxa" w:w="2448"/>
            <w:vAlign w:val="center"/>
            <w:shd w:fill="D9EAF7"/>
          </w:tcPr>
          <w:p>
            <w:pPr>
              <w:spacing w:after="40"/>
            </w:pPr>
            <w:r>
              <w:rPr>
                <w:b/>
                <w:color w:val="21405F"/>
              </w:rPr>
            </w:r>
            <w:r>
              <w:rPr>
                <w:rFonts w:ascii="Aptos" w:hAnsi="Aptos"/>
                <w:b/>
                <w:color w:val="21405F"/>
                <w:sz w:val="20"/>
              </w:rPr>
              <w:t>What they see</w:t>
            </w:r>
          </w:p>
        </w:tc>
        <w:tc>
          <w:tcPr>
            <w:tcW w:type="dxa" w:w="2448"/>
            <w:vAlign w:val="center"/>
            <w:shd w:fill="D9EAF7"/>
          </w:tcPr>
          <w:p>
            <w:pPr>
              <w:spacing w:after="40"/>
            </w:pPr>
            <w:r>
              <w:rPr>
                <w:b/>
                <w:color w:val="21405F"/>
              </w:rPr>
            </w:r>
            <w:r>
              <w:rPr>
                <w:rFonts w:ascii="Aptos" w:hAnsi="Aptos"/>
                <w:b/>
                <w:color w:val="21405F"/>
                <w:sz w:val="20"/>
              </w:rPr>
              <w:t>Design Rule</w:t>
            </w:r>
          </w:p>
        </w:tc>
      </w:tr>
      <w:tr>
        <w:tc>
          <w:tcPr>
            <w:tcW w:type="dxa" w:w="2448"/>
            <w:vAlign w:val="center"/>
          </w:tcPr>
          <w:p>
            <w:pPr>
              <w:spacing w:after="40"/>
            </w:pPr>
            <w:r/>
            <w:r>
              <w:rPr>
                <w:rFonts w:ascii="Aptos" w:hAnsi="Aptos"/>
                <w:b w:val="0"/>
                <w:sz w:val="20"/>
              </w:rPr>
              <w:t>Learner</w:t>
            </w:r>
          </w:p>
        </w:tc>
        <w:tc>
          <w:tcPr>
            <w:tcW w:type="dxa" w:w="2448"/>
            <w:vAlign w:val="center"/>
          </w:tcPr>
          <w:p>
            <w:pPr>
              <w:spacing w:after="40"/>
            </w:pPr>
            <w:r/>
            <w:r>
              <w:rPr>
                <w:rFonts w:ascii="Aptos" w:hAnsi="Aptos"/>
                <w:b w:val="0"/>
                <w:sz w:val="20"/>
              </w:rPr>
              <w:t>Learner</w:t>
            </w:r>
          </w:p>
        </w:tc>
        <w:tc>
          <w:tcPr>
            <w:tcW w:type="dxa" w:w="2448"/>
            <w:vAlign w:val="center"/>
          </w:tcPr>
          <w:p>
            <w:pPr>
              <w:spacing w:after="40"/>
            </w:pPr>
            <w:r/>
            <w:r>
              <w:rPr>
                <w:rFonts w:ascii="Aptos" w:hAnsi="Aptos"/>
                <w:b w:val="0"/>
                <w:sz w:val="20"/>
              </w:rPr>
              <w:t>assigned courses, due dates, completion, scores, certificates</w:t>
            </w:r>
          </w:p>
        </w:tc>
        <w:tc>
          <w:tcPr>
            <w:tcW w:type="dxa" w:w="2448"/>
            <w:vAlign w:val="center"/>
          </w:tcPr>
          <w:p>
            <w:pPr>
              <w:spacing w:after="40"/>
            </w:pPr>
            <w:r/>
            <w:r>
              <w:rPr>
                <w:rFonts w:ascii="Aptos" w:hAnsi="Aptos"/>
                <w:b w:val="0"/>
                <w:sz w:val="20"/>
              </w:rPr>
              <w:t>keep it motivating and uncluttered</w:t>
            </w:r>
          </w:p>
        </w:tc>
      </w:tr>
      <w:tr>
        <w:tc>
          <w:tcPr>
            <w:tcW w:type="dxa" w:w="2448"/>
            <w:vAlign w:val="center"/>
          </w:tcPr>
          <w:p>
            <w:pPr>
              <w:spacing w:after="40"/>
            </w:pPr>
            <w:r/>
            <w:r>
              <w:rPr>
                <w:rFonts w:ascii="Aptos" w:hAnsi="Aptos"/>
                <w:b w:val="0"/>
                <w:sz w:val="20"/>
              </w:rPr>
              <w:t>Manager</w:t>
            </w:r>
          </w:p>
        </w:tc>
        <w:tc>
          <w:tcPr>
            <w:tcW w:type="dxa" w:w="2448"/>
            <w:vAlign w:val="center"/>
          </w:tcPr>
          <w:p>
            <w:pPr>
              <w:spacing w:after="40"/>
            </w:pPr>
            <w:r/>
            <w:r>
              <w:rPr>
                <w:rFonts w:ascii="Aptos" w:hAnsi="Aptos"/>
                <w:b w:val="0"/>
                <w:sz w:val="20"/>
              </w:rPr>
              <w:t>Line manager, team lead</w:t>
            </w:r>
          </w:p>
        </w:tc>
        <w:tc>
          <w:tcPr>
            <w:tcW w:type="dxa" w:w="2448"/>
            <w:vAlign w:val="center"/>
          </w:tcPr>
          <w:p>
            <w:pPr>
              <w:spacing w:after="40"/>
            </w:pPr>
            <w:r/>
            <w:r>
              <w:rPr>
                <w:rFonts w:ascii="Aptos" w:hAnsi="Aptos"/>
                <w:b w:val="0"/>
                <w:sz w:val="20"/>
              </w:rPr>
              <w:t>team completion, overdue members, low score flags, follow-up prompts</w:t>
            </w:r>
          </w:p>
        </w:tc>
        <w:tc>
          <w:tcPr>
            <w:tcW w:type="dxa" w:w="2448"/>
            <w:vAlign w:val="center"/>
          </w:tcPr>
          <w:p>
            <w:pPr>
              <w:spacing w:after="40"/>
            </w:pPr>
            <w:r/>
            <w:r>
              <w:rPr>
                <w:rFonts w:ascii="Aptos" w:hAnsi="Aptos"/>
                <w:b w:val="0"/>
                <w:sz w:val="20"/>
              </w:rPr>
              <w:t>show team health first</w:t>
            </w:r>
          </w:p>
        </w:tc>
      </w:tr>
      <w:tr>
        <w:tc>
          <w:tcPr>
            <w:tcW w:type="dxa" w:w="2448"/>
            <w:vAlign w:val="center"/>
          </w:tcPr>
          <w:p>
            <w:pPr>
              <w:spacing w:after="40"/>
            </w:pPr>
            <w:r/>
            <w:r>
              <w:rPr>
                <w:rFonts w:ascii="Aptos" w:hAnsi="Aptos"/>
                <w:b w:val="0"/>
                <w:sz w:val="20"/>
              </w:rPr>
              <w:t>Client Admin</w:t>
            </w:r>
          </w:p>
        </w:tc>
        <w:tc>
          <w:tcPr>
            <w:tcW w:type="dxa" w:w="2448"/>
            <w:vAlign w:val="center"/>
          </w:tcPr>
          <w:p>
            <w:pPr>
              <w:spacing w:after="40"/>
            </w:pPr>
            <w:r/>
            <w:r>
              <w:rPr>
                <w:rFonts w:ascii="Aptos" w:hAnsi="Aptos"/>
                <w:b w:val="0"/>
                <w:sz w:val="20"/>
              </w:rPr>
              <w:t>HR, L&amp;D, program owner</w:t>
            </w:r>
          </w:p>
        </w:tc>
        <w:tc>
          <w:tcPr>
            <w:tcW w:type="dxa" w:w="2448"/>
            <w:vAlign w:val="center"/>
          </w:tcPr>
          <w:p>
            <w:pPr>
              <w:spacing w:after="40"/>
            </w:pPr>
            <w:r/>
            <w:r>
              <w:rPr>
                <w:rFonts w:ascii="Aptos" w:hAnsi="Aptos"/>
                <w:b w:val="0"/>
                <w:sz w:val="20"/>
              </w:rPr>
              <w:t>cohort analytics, exports, heat maps, assignment status</w:t>
            </w:r>
          </w:p>
        </w:tc>
        <w:tc>
          <w:tcPr>
            <w:tcW w:type="dxa" w:w="2448"/>
            <w:vAlign w:val="center"/>
          </w:tcPr>
          <w:p>
            <w:pPr>
              <w:spacing w:after="40"/>
            </w:pPr>
            <w:r/>
            <w:r>
              <w:rPr>
                <w:rFonts w:ascii="Aptos" w:hAnsi="Aptos"/>
                <w:b w:val="0"/>
                <w:sz w:val="20"/>
              </w:rPr>
              <w:t>support governance</w:t>
            </w:r>
          </w:p>
        </w:tc>
      </w:tr>
      <w:tr>
        <w:tc>
          <w:tcPr>
            <w:tcW w:type="dxa" w:w="2448"/>
            <w:vAlign w:val="center"/>
          </w:tcPr>
          <w:p>
            <w:pPr>
              <w:spacing w:after="40"/>
            </w:pPr>
            <w:r/>
            <w:r>
              <w:rPr>
                <w:rFonts w:ascii="Aptos" w:hAnsi="Aptos"/>
                <w:b w:val="0"/>
                <w:sz w:val="20"/>
              </w:rPr>
              <w:t>Consultant</w:t>
            </w:r>
          </w:p>
        </w:tc>
        <w:tc>
          <w:tcPr>
            <w:tcW w:type="dxa" w:w="2448"/>
            <w:vAlign w:val="center"/>
          </w:tcPr>
          <w:p>
            <w:pPr>
              <w:spacing w:after="40"/>
            </w:pPr>
            <w:r/>
            <w:r>
              <w:rPr>
                <w:rFonts w:ascii="Aptos" w:hAnsi="Aptos"/>
                <w:b w:val="0"/>
                <w:sz w:val="20"/>
              </w:rPr>
              <w:t>Strengthscape consultant</w:t>
            </w:r>
          </w:p>
        </w:tc>
        <w:tc>
          <w:tcPr>
            <w:tcW w:type="dxa" w:w="2448"/>
            <w:vAlign w:val="center"/>
          </w:tcPr>
          <w:p>
            <w:pPr>
              <w:spacing w:after="40"/>
            </w:pPr>
            <w:r/>
            <w:r>
              <w:rPr>
                <w:rFonts w:ascii="Aptos" w:hAnsi="Aptos"/>
                <w:b w:val="0"/>
                <w:sz w:val="20"/>
              </w:rPr>
              <w:t>patterns, intervention clues, heat maps, journey trends</w:t>
            </w:r>
          </w:p>
        </w:tc>
        <w:tc>
          <w:tcPr>
            <w:tcW w:type="dxa" w:w="2448"/>
            <w:vAlign w:val="center"/>
          </w:tcPr>
          <w:p>
            <w:pPr>
              <w:spacing w:after="40"/>
            </w:pPr>
            <w:r/>
            <w:r>
              <w:rPr>
                <w:rFonts w:ascii="Aptos" w:hAnsi="Aptos"/>
                <w:b w:val="0"/>
                <w:sz w:val="20"/>
              </w:rPr>
              <w:t>support interpretation</w:t>
            </w:r>
          </w:p>
        </w:tc>
      </w:tr>
      <w:tr>
        <w:tc>
          <w:tcPr>
            <w:tcW w:type="dxa" w:w="2448"/>
            <w:vAlign w:val="center"/>
          </w:tcPr>
          <w:p>
            <w:pPr>
              <w:spacing w:after="40"/>
            </w:pPr>
            <w:r/>
            <w:r>
              <w:rPr>
                <w:rFonts w:ascii="Aptos" w:hAnsi="Aptos"/>
                <w:b w:val="0"/>
                <w:sz w:val="20"/>
              </w:rPr>
              <w:t>Executive</w:t>
            </w:r>
          </w:p>
        </w:tc>
        <w:tc>
          <w:tcPr>
            <w:tcW w:type="dxa" w:w="2448"/>
            <w:vAlign w:val="center"/>
          </w:tcPr>
          <w:p>
            <w:pPr>
              <w:spacing w:after="40"/>
            </w:pPr>
            <w:r/>
            <w:r>
              <w:rPr>
                <w:rFonts w:ascii="Aptos" w:hAnsi="Aptos"/>
                <w:b w:val="0"/>
                <w:sz w:val="20"/>
              </w:rPr>
              <w:t>Client sponsor</w:t>
            </w:r>
          </w:p>
        </w:tc>
        <w:tc>
          <w:tcPr>
            <w:tcW w:type="dxa" w:w="2448"/>
            <w:vAlign w:val="center"/>
          </w:tcPr>
          <w:p>
            <w:pPr>
              <w:spacing w:after="40"/>
            </w:pPr>
            <w:r/>
            <w:r>
              <w:rPr>
                <w:rFonts w:ascii="Aptos" w:hAnsi="Aptos"/>
                <w:b w:val="0"/>
                <w:sz w:val="20"/>
              </w:rPr>
              <w:t>high-level metrics, risk signals, milestone movement</w:t>
            </w:r>
          </w:p>
        </w:tc>
        <w:tc>
          <w:tcPr>
            <w:tcW w:type="dxa" w:w="2448"/>
            <w:vAlign w:val="center"/>
          </w:tcPr>
          <w:p>
            <w:pPr>
              <w:spacing w:after="40"/>
            </w:pPr>
            <w:r/>
            <w:r>
              <w:rPr>
                <w:rFonts w:ascii="Aptos" w:hAnsi="Aptos"/>
                <w:b w:val="0"/>
                <w:sz w:val="20"/>
              </w:rPr>
              <w:t>show only decision-grade summaries</w:t>
            </w:r>
          </w:p>
        </w:tc>
      </w:tr>
    </w:tbl>
    <w:p>
      <w:pPr>
        <w:pStyle w:val="Heading1"/>
      </w:pPr>
      <w:r>
        <w:t>7.5 Core metric families</w:t>
      </w:r>
    </w:p>
    <w:p>
      <w:r>
        <w:t>The data model and workflows must support a stable set of metric families from day one. Even if every chart is not built immediately, the underlying records should be structured so the platform can compute them later without redesign.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40"/>
            </w:pPr>
            <w:r>
              <w:rPr>
                <w:b/>
                <w:color w:val="21405F"/>
              </w:rPr>
            </w:r>
            <w:r>
              <w:rPr>
                <w:rFonts w:ascii="Aptos" w:hAnsi="Aptos"/>
                <w:b/>
                <w:color w:val="21405F"/>
                <w:sz w:val="20"/>
              </w:rPr>
              <w:t>Metric Family</w:t>
            </w:r>
          </w:p>
        </w:tc>
        <w:tc>
          <w:tcPr>
            <w:tcW w:type="dxa" w:w="3264"/>
            <w:vAlign w:val="center"/>
            <w:shd w:fill="D9EAF7"/>
          </w:tcPr>
          <w:p>
            <w:pPr>
              <w:spacing w:after="40"/>
            </w:pPr>
            <w:r>
              <w:rPr>
                <w:b/>
                <w:color w:val="21405F"/>
              </w:rPr>
            </w:r>
            <w:r>
              <w:rPr>
                <w:rFonts w:ascii="Aptos" w:hAnsi="Aptos"/>
                <w:b/>
                <w:color w:val="21405F"/>
                <w:sz w:val="20"/>
              </w:rPr>
              <w:t>Examples</w:t>
            </w:r>
          </w:p>
        </w:tc>
        <w:tc>
          <w:tcPr>
            <w:tcW w:type="dxa" w:w="3264"/>
            <w:vAlign w:val="center"/>
            <w:shd w:fill="D9EAF7"/>
          </w:tcPr>
          <w:p>
            <w:pPr>
              <w:spacing w:after="40"/>
            </w:pPr>
            <w:r>
              <w:rPr>
                <w:b/>
                <w:color w:val="21405F"/>
              </w:rPr>
            </w:r>
            <w:r>
              <w:rPr>
                <w:rFonts w:ascii="Aptos" w:hAnsi="Aptos"/>
                <w:b/>
                <w:color w:val="21405F"/>
                <w:sz w:val="20"/>
              </w:rPr>
              <w:t>Notes for Bubble</w:t>
            </w:r>
          </w:p>
        </w:tc>
      </w:tr>
      <w:tr>
        <w:tc>
          <w:tcPr>
            <w:tcW w:type="dxa" w:w="3264"/>
            <w:vAlign w:val="center"/>
          </w:tcPr>
          <w:p>
            <w:pPr>
              <w:spacing w:after="40"/>
            </w:pPr>
            <w:r/>
            <w:r>
              <w:rPr>
                <w:rFonts w:ascii="Aptos" w:hAnsi="Aptos"/>
                <w:b w:val="0"/>
                <w:sz w:val="20"/>
              </w:rPr>
              <w:t>Adoption</w:t>
            </w:r>
          </w:p>
        </w:tc>
        <w:tc>
          <w:tcPr>
            <w:tcW w:type="dxa" w:w="3264"/>
            <w:vAlign w:val="center"/>
          </w:tcPr>
          <w:p>
            <w:pPr>
              <w:spacing w:after="40"/>
            </w:pPr>
            <w:r/>
            <w:r>
              <w:rPr>
                <w:rFonts w:ascii="Aptos" w:hAnsi="Aptos"/>
                <w:b w:val="0"/>
                <w:sz w:val="20"/>
              </w:rPr>
              <w:t>first login, first course start, first meaningful action</w:t>
            </w:r>
          </w:p>
        </w:tc>
        <w:tc>
          <w:tcPr>
            <w:tcW w:type="dxa" w:w="3264"/>
            <w:vAlign w:val="center"/>
          </w:tcPr>
          <w:p>
            <w:pPr>
              <w:spacing w:after="40"/>
            </w:pPr>
            <w:r/>
            <w:r>
              <w:rPr>
                <w:rFonts w:ascii="Aptos" w:hAnsi="Aptos"/>
                <w:b w:val="0"/>
                <w:sz w:val="20"/>
              </w:rPr>
              <w:t>store timestamps explicitly</w:t>
            </w:r>
          </w:p>
        </w:tc>
      </w:tr>
      <w:tr>
        <w:tc>
          <w:tcPr>
            <w:tcW w:type="dxa" w:w="3264"/>
            <w:vAlign w:val="center"/>
          </w:tcPr>
          <w:p>
            <w:pPr>
              <w:spacing w:after="40"/>
            </w:pPr>
            <w:r/>
            <w:r>
              <w:rPr>
                <w:rFonts w:ascii="Aptos" w:hAnsi="Aptos"/>
                <w:b w:val="0"/>
                <w:sz w:val="20"/>
              </w:rPr>
              <w:t>Engagement</w:t>
            </w:r>
          </w:p>
        </w:tc>
        <w:tc>
          <w:tcPr>
            <w:tcW w:type="dxa" w:w="3264"/>
            <w:vAlign w:val="center"/>
          </w:tcPr>
          <w:p>
            <w:pPr>
              <w:spacing w:after="40"/>
            </w:pPr>
            <w:r/>
            <w:r>
              <w:rPr>
                <w:rFonts w:ascii="Aptos" w:hAnsi="Aptos"/>
                <w:b w:val="0"/>
                <w:sz w:val="20"/>
              </w:rPr>
              <w:t>video watched, lessons completed, notes submitted, quiz attempts</w:t>
            </w:r>
          </w:p>
        </w:tc>
        <w:tc>
          <w:tcPr>
            <w:tcW w:type="dxa" w:w="3264"/>
            <w:vAlign w:val="center"/>
          </w:tcPr>
          <w:p>
            <w:pPr>
              <w:spacing w:after="40"/>
            </w:pPr>
            <w:r/>
            <w:r>
              <w:rPr>
                <w:rFonts w:ascii="Aptos" w:hAnsi="Aptos"/>
                <w:b w:val="0"/>
                <w:sz w:val="20"/>
              </w:rPr>
              <w:t>avoid over-computing from raw events</w:t>
            </w:r>
          </w:p>
        </w:tc>
      </w:tr>
      <w:tr>
        <w:tc>
          <w:tcPr>
            <w:tcW w:type="dxa" w:w="3264"/>
            <w:vAlign w:val="center"/>
          </w:tcPr>
          <w:p>
            <w:pPr>
              <w:spacing w:after="40"/>
            </w:pPr>
            <w:r/>
            <w:r>
              <w:rPr>
                <w:rFonts w:ascii="Aptos" w:hAnsi="Aptos"/>
                <w:b w:val="0"/>
                <w:sz w:val="20"/>
              </w:rPr>
              <w:t>Progress</w:t>
            </w:r>
          </w:p>
        </w:tc>
        <w:tc>
          <w:tcPr>
            <w:tcW w:type="dxa" w:w="3264"/>
            <w:vAlign w:val="center"/>
          </w:tcPr>
          <w:p>
            <w:pPr>
              <w:spacing w:after="40"/>
            </w:pPr>
            <w:r/>
            <w:r>
              <w:rPr>
                <w:rFonts w:ascii="Aptos" w:hAnsi="Aptos"/>
                <w:b w:val="0"/>
                <w:sz w:val="20"/>
              </w:rPr>
              <w:t>in progress, completed, overdue, due soon</w:t>
            </w:r>
          </w:p>
        </w:tc>
        <w:tc>
          <w:tcPr>
            <w:tcW w:type="dxa" w:w="3264"/>
            <w:vAlign w:val="center"/>
          </w:tcPr>
          <w:p>
            <w:pPr>
              <w:spacing w:after="40"/>
            </w:pPr>
            <w:r/>
            <w:r>
              <w:rPr>
                <w:rFonts w:ascii="Aptos" w:hAnsi="Aptos"/>
                <w:b w:val="0"/>
                <w:sz w:val="20"/>
              </w:rPr>
              <w:t>precompute status fields where possible</w:t>
            </w:r>
          </w:p>
        </w:tc>
      </w:tr>
      <w:tr>
        <w:tc>
          <w:tcPr>
            <w:tcW w:type="dxa" w:w="3264"/>
            <w:vAlign w:val="center"/>
          </w:tcPr>
          <w:p>
            <w:pPr>
              <w:spacing w:after="40"/>
            </w:pPr>
            <w:r/>
            <w:r>
              <w:rPr>
                <w:rFonts w:ascii="Aptos" w:hAnsi="Aptos"/>
                <w:b w:val="0"/>
                <w:sz w:val="20"/>
              </w:rPr>
              <w:t>Performance</w:t>
            </w:r>
          </w:p>
        </w:tc>
        <w:tc>
          <w:tcPr>
            <w:tcW w:type="dxa" w:w="3264"/>
            <w:vAlign w:val="center"/>
          </w:tcPr>
          <w:p>
            <w:pPr>
              <w:spacing w:after="40"/>
            </w:pPr>
            <w:r/>
            <w:r>
              <w:rPr>
                <w:rFonts w:ascii="Aptos" w:hAnsi="Aptos"/>
                <w:b w:val="0"/>
                <w:sz w:val="20"/>
              </w:rPr>
              <w:t>quiz score, pass/fail, retake count</w:t>
            </w:r>
          </w:p>
        </w:tc>
        <w:tc>
          <w:tcPr>
            <w:tcW w:type="dxa" w:w="3264"/>
            <w:vAlign w:val="center"/>
          </w:tcPr>
          <w:p>
            <w:pPr>
              <w:spacing w:after="40"/>
            </w:pPr>
            <w:r/>
            <w:r>
              <w:rPr>
                <w:rFonts w:ascii="Aptos" w:hAnsi="Aptos"/>
                <w:b w:val="0"/>
                <w:sz w:val="20"/>
              </w:rPr>
              <w:t>question-level analytics optional later</w:t>
            </w:r>
          </w:p>
        </w:tc>
      </w:tr>
      <w:tr>
        <w:tc>
          <w:tcPr>
            <w:tcW w:type="dxa" w:w="3264"/>
            <w:vAlign w:val="center"/>
          </w:tcPr>
          <w:p>
            <w:pPr>
              <w:spacing w:after="40"/>
            </w:pPr>
            <w:r/>
            <w:r>
              <w:rPr>
                <w:rFonts w:ascii="Aptos" w:hAnsi="Aptos"/>
                <w:b w:val="0"/>
                <w:sz w:val="20"/>
              </w:rPr>
              <w:t>Certification</w:t>
            </w:r>
          </w:p>
        </w:tc>
        <w:tc>
          <w:tcPr>
            <w:tcW w:type="dxa" w:w="3264"/>
            <w:vAlign w:val="center"/>
          </w:tcPr>
          <w:p>
            <w:pPr>
              <w:spacing w:after="40"/>
            </w:pPr>
            <w:r/>
            <w:r>
              <w:rPr>
                <w:rFonts w:ascii="Aptos" w:hAnsi="Aptos"/>
                <w:b w:val="0"/>
                <w:sz w:val="20"/>
              </w:rPr>
              <w:t>issued, downloaded, expired, renewal due</w:t>
            </w:r>
          </w:p>
        </w:tc>
        <w:tc>
          <w:tcPr>
            <w:tcW w:type="dxa" w:w="3264"/>
            <w:vAlign w:val="center"/>
          </w:tcPr>
          <w:p>
            <w:pPr>
              <w:spacing w:after="40"/>
            </w:pPr>
            <w:r/>
            <w:r>
              <w:rPr>
                <w:rFonts w:ascii="Aptos" w:hAnsi="Aptos"/>
                <w:b w:val="0"/>
                <w:sz w:val="20"/>
              </w:rPr>
              <w:t>support compliance journeys</w:t>
            </w:r>
          </w:p>
        </w:tc>
      </w:tr>
      <w:tr>
        <w:tc>
          <w:tcPr>
            <w:tcW w:type="dxa" w:w="3264"/>
            <w:vAlign w:val="center"/>
          </w:tcPr>
          <w:p>
            <w:pPr>
              <w:spacing w:after="40"/>
            </w:pPr>
            <w:r/>
            <w:r>
              <w:rPr>
                <w:rFonts w:ascii="Aptos" w:hAnsi="Aptos"/>
                <w:b w:val="0"/>
                <w:sz w:val="20"/>
              </w:rPr>
              <w:t>Cohort Health</w:t>
            </w:r>
          </w:p>
        </w:tc>
        <w:tc>
          <w:tcPr>
            <w:tcW w:type="dxa" w:w="3264"/>
            <w:vAlign w:val="center"/>
          </w:tcPr>
          <w:p>
            <w:pPr>
              <w:spacing w:after="40"/>
            </w:pPr>
            <w:r/>
            <w:r>
              <w:rPr>
                <w:rFonts w:ascii="Aptos" w:hAnsi="Aptos"/>
                <w:b w:val="0"/>
                <w:sz w:val="20"/>
              </w:rPr>
              <w:t>cohort completion, team variance, manager follow-through</w:t>
            </w:r>
          </w:p>
        </w:tc>
        <w:tc>
          <w:tcPr>
            <w:tcW w:type="dxa" w:w="3264"/>
            <w:vAlign w:val="center"/>
          </w:tcPr>
          <w:p>
            <w:pPr>
              <w:spacing w:after="40"/>
            </w:pPr>
            <w:r/>
            <w:r>
              <w:rPr>
                <w:rFonts w:ascii="Aptos" w:hAnsi="Aptos"/>
                <w:b w:val="0"/>
                <w:sz w:val="20"/>
              </w:rPr>
              <w:t>best shown as comparisons</w:t>
            </w:r>
          </w:p>
        </w:tc>
      </w:tr>
      <w:tr>
        <w:tc>
          <w:tcPr>
            <w:tcW w:type="dxa" w:w="3264"/>
            <w:vAlign w:val="center"/>
          </w:tcPr>
          <w:p>
            <w:pPr>
              <w:spacing w:after="40"/>
            </w:pPr>
            <w:r/>
            <w:r>
              <w:rPr>
                <w:rFonts w:ascii="Aptos" w:hAnsi="Aptos"/>
                <w:b w:val="0"/>
                <w:sz w:val="20"/>
              </w:rPr>
              <w:t>Content Health</w:t>
            </w:r>
          </w:p>
        </w:tc>
        <w:tc>
          <w:tcPr>
            <w:tcW w:type="dxa" w:w="3264"/>
            <w:vAlign w:val="center"/>
          </w:tcPr>
          <w:p>
            <w:pPr>
              <w:spacing w:after="40"/>
            </w:pPr>
            <w:r/>
            <w:r>
              <w:rPr>
                <w:rFonts w:ascii="Aptos" w:hAnsi="Aptos"/>
                <w:b w:val="0"/>
                <w:sz w:val="20"/>
              </w:rPr>
              <w:t>module drop-off, low-score lesson, repeat-failure lesson</w:t>
            </w:r>
          </w:p>
        </w:tc>
        <w:tc>
          <w:tcPr>
            <w:tcW w:type="dxa" w:w="3264"/>
            <w:vAlign w:val="center"/>
          </w:tcPr>
          <w:p>
            <w:pPr>
              <w:spacing w:after="40"/>
            </w:pPr>
            <w:r/>
            <w:r>
              <w:rPr>
                <w:rFonts w:ascii="Aptos" w:hAnsi="Aptos"/>
                <w:b w:val="0"/>
                <w:sz w:val="20"/>
              </w:rPr>
              <w:t>use for content improvement</w:t>
            </w:r>
          </w:p>
        </w:tc>
      </w:tr>
      <w:tr>
        <w:tc>
          <w:tcPr>
            <w:tcW w:type="dxa" w:w="3264"/>
            <w:vAlign w:val="center"/>
          </w:tcPr>
          <w:p>
            <w:pPr>
              <w:spacing w:after="40"/>
            </w:pPr>
            <w:r/>
            <w:r>
              <w:rPr>
                <w:rFonts w:ascii="Aptos" w:hAnsi="Aptos"/>
                <w:b w:val="0"/>
                <w:sz w:val="20"/>
              </w:rPr>
              <w:t>Journey Insight</w:t>
            </w:r>
          </w:p>
        </w:tc>
        <w:tc>
          <w:tcPr>
            <w:tcW w:type="dxa" w:w="3264"/>
            <w:vAlign w:val="center"/>
          </w:tcPr>
          <w:p>
            <w:pPr>
              <w:spacing w:after="40"/>
            </w:pPr>
            <w:r/>
            <w:r>
              <w:rPr>
                <w:rFonts w:ascii="Aptos" w:hAnsi="Aptos"/>
                <w:b w:val="0"/>
                <w:sz w:val="20"/>
              </w:rPr>
              <w:t>team reinforcement need, ritual adoption gap, long-term follow-up</w:t>
            </w:r>
          </w:p>
        </w:tc>
        <w:tc>
          <w:tcPr>
            <w:tcW w:type="dxa" w:w="3264"/>
            <w:vAlign w:val="center"/>
          </w:tcPr>
          <w:p>
            <w:pPr>
              <w:spacing w:after="40"/>
            </w:pPr>
            <w:r/>
            <w:r>
              <w:rPr>
                <w:rFonts w:ascii="Aptos" w:hAnsi="Aptos"/>
                <w:b w:val="0"/>
                <w:sz w:val="20"/>
              </w:rPr>
              <w:t>consulting-facing layer</w:t>
            </w:r>
          </w:p>
        </w:tc>
      </w:tr>
    </w:tbl>
    <w:p>
      <w:pPr>
        <w:pStyle w:val="Heading1"/>
      </w:pPr>
      <w:r>
        <w:t>7.6 Learner dashboard reporting components</w:t>
      </w:r>
    </w:p>
    <w:p>
      <w:r>
        <w:t>The learner should experience reporting as self-navigation, not surveillance. The dashboard should tell the learner what is assigned, what is due, what is complete, what remains blocked, and what certificate or milestone is next.</w:t>
      </w:r>
    </w:p>
    <w:p>
      <w:pPr>
        <w:pStyle w:val="ListBullet"/>
      </w:pPr>
      <w:r>
        <w:t>Assigned learning summary: total assigned, in progress, completed, overdue.</w:t>
      </w:r>
    </w:p>
    <w:p>
      <w:pPr>
        <w:pStyle w:val="ListBullet"/>
      </w:pPr>
      <w:r>
        <w:t>Continue learning card: most recent active course and next lesson.</w:t>
      </w:r>
    </w:p>
    <w:p>
      <w:pPr>
        <w:pStyle w:val="ListBullet"/>
      </w:pPr>
      <w:r>
        <w:t>Due soon card: highlights deadlines in the next 7 to 14 days.</w:t>
      </w:r>
    </w:p>
    <w:p>
      <w:pPr>
        <w:pStyle w:val="ListBullet"/>
      </w:pPr>
      <w:r>
        <w:t>Progress bar by course or learning path.</w:t>
      </w:r>
    </w:p>
    <w:p>
      <w:pPr>
        <w:pStyle w:val="ListBullet"/>
      </w:pPr>
      <w:r>
        <w:t>Certificate shelf: completed certificates available for download.</w:t>
      </w:r>
    </w:p>
    <w:p>
      <w:pPr>
        <w:pStyle w:val="ListBullet"/>
      </w:pPr>
      <w:r>
        <w:t>Optional lightweight milestone markers such as streak or completion badge.</w:t>
      </w:r>
    </w:p>
    <w:p>
      <w:pPr>
        <w:pStyle w:val="Heading1"/>
      </w:pPr>
      <w:r>
        <w:t>7.7 Manager and client admin analytics</w:t>
      </w:r>
    </w:p>
    <w:p>
      <w:r>
        <w:t>Manager and client admin reporting is where the LMS becomes genuinely useful in larger deployments. These users need quick situational awareness and the ability to drill down when something looks wrong.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40"/>
            </w:pPr>
            <w:r>
              <w:rPr>
                <w:b/>
                <w:color w:val="21405F"/>
              </w:rPr>
            </w:r>
            <w:r>
              <w:rPr>
                <w:rFonts w:ascii="Aptos" w:hAnsi="Aptos"/>
                <w:b/>
                <w:color w:val="21405F"/>
                <w:sz w:val="20"/>
              </w:rPr>
              <w:t>Widget</w:t>
            </w:r>
          </w:p>
        </w:tc>
        <w:tc>
          <w:tcPr>
            <w:tcW w:type="dxa" w:w="2448"/>
            <w:vAlign w:val="center"/>
            <w:shd w:fill="D9EAF7"/>
          </w:tcPr>
          <w:p>
            <w:pPr>
              <w:spacing w:after="40"/>
            </w:pPr>
            <w:r>
              <w:rPr>
                <w:b/>
                <w:color w:val="21405F"/>
              </w:rPr>
            </w:r>
            <w:r>
              <w:rPr>
                <w:rFonts w:ascii="Aptos" w:hAnsi="Aptos"/>
                <w:b/>
                <w:color w:val="21405F"/>
                <w:sz w:val="20"/>
              </w:rPr>
              <w:t>Manager View</w:t>
            </w:r>
          </w:p>
        </w:tc>
        <w:tc>
          <w:tcPr>
            <w:tcW w:type="dxa" w:w="2448"/>
            <w:vAlign w:val="center"/>
            <w:shd w:fill="D9EAF7"/>
          </w:tcPr>
          <w:p>
            <w:pPr>
              <w:spacing w:after="40"/>
            </w:pPr>
            <w:r>
              <w:rPr>
                <w:b/>
                <w:color w:val="21405F"/>
              </w:rPr>
            </w:r>
            <w:r>
              <w:rPr>
                <w:rFonts w:ascii="Aptos" w:hAnsi="Aptos"/>
                <w:b/>
                <w:color w:val="21405F"/>
                <w:sz w:val="20"/>
              </w:rPr>
              <w:t>Client Admin View</w:t>
            </w:r>
          </w:p>
        </w:tc>
        <w:tc>
          <w:tcPr>
            <w:tcW w:type="dxa" w:w="2448"/>
            <w:vAlign w:val="center"/>
            <w:shd w:fill="D9EAF7"/>
          </w:tcPr>
          <w:p>
            <w:pPr>
              <w:spacing w:after="40"/>
            </w:pPr>
            <w:r>
              <w:rPr>
                <w:b/>
                <w:color w:val="21405F"/>
              </w:rPr>
            </w:r>
            <w:r>
              <w:rPr>
                <w:rFonts w:ascii="Aptos" w:hAnsi="Aptos"/>
                <w:b/>
                <w:color w:val="21405F"/>
                <w:sz w:val="20"/>
              </w:rPr>
              <w:t>Priority</w:t>
            </w:r>
          </w:p>
        </w:tc>
      </w:tr>
      <w:tr>
        <w:tc>
          <w:tcPr>
            <w:tcW w:type="dxa" w:w="2448"/>
            <w:vAlign w:val="center"/>
          </w:tcPr>
          <w:p>
            <w:pPr>
              <w:spacing w:after="40"/>
            </w:pPr>
            <w:r/>
            <w:r>
              <w:rPr>
                <w:rFonts w:ascii="Aptos" w:hAnsi="Aptos"/>
                <w:b w:val="0"/>
                <w:sz w:val="20"/>
              </w:rPr>
              <w:t>Completion overview</w:t>
            </w:r>
          </w:p>
        </w:tc>
        <w:tc>
          <w:tcPr>
            <w:tcW w:type="dxa" w:w="2448"/>
            <w:vAlign w:val="center"/>
          </w:tcPr>
          <w:p>
            <w:pPr>
              <w:spacing w:after="40"/>
            </w:pPr>
            <w:r/>
            <w:r>
              <w:rPr>
                <w:rFonts w:ascii="Aptos" w:hAnsi="Aptos"/>
                <w:b w:val="0"/>
                <w:sz w:val="20"/>
              </w:rPr>
              <w:t>team completion percentage</w:t>
            </w:r>
          </w:p>
        </w:tc>
        <w:tc>
          <w:tcPr>
            <w:tcW w:type="dxa" w:w="2448"/>
            <w:vAlign w:val="center"/>
          </w:tcPr>
          <w:p>
            <w:pPr>
              <w:spacing w:after="40"/>
            </w:pPr>
            <w:r/>
            <w:r>
              <w:rPr>
                <w:rFonts w:ascii="Aptos" w:hAnsi="Aptos"/>
                <w:b w:val="0"/>
                <w:sz w:val="20"/>
              </w:rPr>
              <w:t>company / cohort completion percentage</w:t>
            </w:r>
          </w:p>
        </w:tc>
        <w:tc>
          <w:tcPr>
            <w:tcW w:type="dxa" w:w="2448"/>
            <w:vAlign w:val="center"/>
          </w:tcPr>
          <w:p>
            <w:pPr>
              <w:spacing w:after="40"/>
            </w:pPr>
            <w:r/>
            <w:r>
              <w:rPr>
                <w:rFonts w:ascii="Aptos" w:hAnsi="Aptos"/>
                <w:b w:val="0"/>
                <w:sz w:val="20"/>
              </w:rPr>
              <w:t>MVP</w:t>
            </w:r>
          </w:p>
        </w:tc>
      </w:tr>
      <w:tr>
        <w:tc>
          <w:tcPr>
            <w:tcW w:type="dxa" w:w="2448"/>
            <w:vAlign w:val="center"/>
          </w:tcPr>
          <w:p>
            <w:pPr>
              <w:spacing w:after="40"/>
            </w:pPr>
            <w:r/>
            <w:r>
              <w:rPr>
                <w:rFonts w:ascii="Aptos" w:hAnsi="Aptos"/>
                <w:b w:val="0"/>
                <w:sz w:val="20"/>
              </w:rPr>
              <w:t>Overdue list</w:t>
            </w:r>
          </w:p>
        </w:tc>
        <w:tc>
          <w:tcPr>
            <w:tcW w:type="dxa" w:w="2448"/>
            <w:vAlign w:val="center"/>
          </w:tcPr>
          <w:p>
            <w:pPr>
              <w:spacing w:after="40"/>
            </w:pPr>
            <w:r/>
            <w:r>
              <w:rPr>
                <w:rFonts w:ascii="Aptos" w:hAnsi="Aptos"/>
                <w:b w:val="0"/>
                <w:sz w:val="20"/>
              </w:rPr>
              <w:t>named team members overdue</w:t>
            </w:r>
          </w:p>
        </w:tc>
        <w:tc>
          <w:tcPr>
            <w:tcW w:type="dxa" w:w="2448"/>
            <w:vAlign w:val="center"/>
          </w:tcPr>
          <w:p>
            <w:pPr>
              <w:spacing w:after="40"/>
            </w:pPr>
            <w:r/>
            <w:r>
              <w:rPr>
                <w:rFonts w:ascii="Aptos" w:hAnsi="Aptos"/>
                <w:b w:val="0"/>
                <w:sz w:val="20"/>
              </w:rPr>
              <w:t>sortable overdue roster across groups</w:t>
            </w:r>
          </w:p>
        </w:tc>
        <w:tc>
          <w:tcPr>
            <w:tcW w:type="dxa" w:w="2448"/>
            <w:vAlign w:val="center"/>
          </w:tcPr>
          <w:p>
            <w:pPr>
              <w:spacing w:after="40"/>
            </w:pPr>
            <w:r/>
            <w:r>
              <w:rPr>
                <w:rFonts w:ascii="Aptos" w:hAnsi="Aptos"/>
                <w:b w:val="0"/>
                <w:sz w:val="20"/>
              </w:rPr>
              <w:t>MVP</w:t>
            </w:r>
          </w:p>
        </w:tc>
      </w:tr>
      <w:tr>
        <w:tc>
          <w:tcPr>
            <w:tcW w:type="dxa" w:w="2448"/>
            <w:vAlign w:val="center"/>
          </w:tcPr>
          <w:p>
            <w:pPr>
              <w:spacing w:after="40"/>
            </w:pPr>
            <w:r/>
            <w:r>
              <w:rPr>
                <w:rFonts w:ascii="Aptos" w:hAnsi="Aptos"/>
                <w:b w:val="0"/>
                <w:sz w:val="20"/>
              </w:rPr>
              <w:t>Low score watchlist</w:t>
            </w:r>
          </w:p>
        </w:tc>
        <w:tc>
          <w:tcPr>
            <w:tcW w:type="dxa" w:w="2448"/>
            <w:vAlign w:val="center"/>
          </w:tcPr>
          <w:p>
            <w:pPr>
              <w:spacing w:after="40"/>
            </w:pPr>
            <w:r/>
            <w:r>
              <w:rPr>
                <w:rFonts w:ascii="Aptos" w:hAnsi="Aptos"/>
                <w:b w:val="0"/>
                <w:sz w:val="20"/>
              </w:rPr>
              <w:t>people below pass threshold</w:t>
            </w:r>
          </w:p>
        </w:tc>
        <w:tc>
          <w:tcPr>
            <w:tcW w:type="dxa" w:w="2448"/>
            <w:vAlign w:val="center"/>
          </w:tcPr>
          <w:p>
            <w:pPr>
              <w:spacing w:after="40"/>
            </w:pPr>
            <w:r/>
            <w:r>
              <w:rPr>
                <w:rFonts w:ascii="Aptos" w:hAnsi="Aptos"/>
                <w:b w:val="0"/>
                <w:sz w:val="20"/>
              </w:rPr>
              <w:t>team / cohort trend by score band</w:t>
            </w:r>
          </w:p>
        </w:tc>
        <w:tc>
          <w:tcPr>
            <w:tcW w:type="dxa" w:w="2448"/>
            <w:vAlign w:val="center"/>
          </w:tcPr>
          <w:p>
            <w:pPr>
              <w:spacing w:after="40"/>
            </w:pPr>
            <w:r/>
            <w:r>
              <w:rPr>
                <w:rFonts w:ascii="Aptos" w:hAnsi="Aptos"/>
                <w:b w:val="0"/>
                <w:sz w:val="20"/>
              </w:rPr>
              <w:t>Phase 2</w:t>
            </w:r>
          </w:p>
        </w:tc>
      </w:tr>
      <w:tr>
        <w:tc>
          <w:tcPr>
            <w:tcW w:type="dxa" w:w="2448"/>
            <w:vAlign w:val="center"/>
          </w:tcPr>
          <w:p>
            <w:pPr>
              <w:spacing w:after="40"/>
            </w:pPr>
            <w:r/>
            <w:r>
              <w:rPr>
                <w:rFonts w:ascii="Aptos" w:hAnsi="Aptos"/>
                <w:b w:val="0"/>
                <w:sz w:val="20"/>
              </w:rPr>
              <w:t>Assignment coverage</w:t>
            </w:r>
          </w:p>
        </w:tc>
        <w:tc>
          <w:tcPr>
            <w:tcW w:type="dxa" w:w="2448"/>
            <w:vAlign w:val="center"/>
          </w:tcPr>
          <w:p>
            <w:pPr>
              <w:spacing w:after="40"/>
            </w:pPr>
            <w:r/>
            <w:r>
              <w:rPr>
                <w:rFonts w:ascii="Aptos" w:hAnsi="Aptos"/>
                <w:b w:val="0"/>
                <w:sz w:val="20"/>
              </w:rPr>
              <w:t>who has not started</w:t>
            </w:r>
          </w:p>
        </w:tc>
        <w:tc>
          <w:tcPr>
            <w:tcW w:type="dxa" w:w="2448"/>
            <w:vAlign w:val="center"/>
          </w:tcPr>
          <w:p>
            <w:pPr>
              <w:spacing w:after="40"/>
            </w:pPr>
            <w:r/>
            <w:r>
              <w:rPr>
                <w:rFonts w:ascii="Aptos" w:hAnsi="Aptos"/>
                <w:b w:val="0"/>
                <w:sz w:val="20"/>
              </w:rPr>
              <w:t>who was invited but inactive</w:t>
            </w:r>
          </w:p>
        </w:tc>
        <w:tc>
          <w:tcPr>
            <w:tcW w:type="dxa" w:w="2448"/>
            <w:vAlign w:val="center"/>
          </w:tcPr>
          <w:p>
            <w:pPr>
              <w:spacing w:after="40"/>
            </w:pPr>
            <w:r/>
            <w:r>
              <w:rPr>
                <w:rFonts w:ascii="Aptos" w:hAnsi="Aptos"/>
                <w:b w:val="0"/>
                <w:sz w:val="20"/>
              </w:rPr>
              <w:t>MVP</w:t>
            </w:r>
          </w:p>
        </w:tc>
      </w:tr>
      <w:tr>
        <w:tc>
          <w:tcPr>
            <w:tcW w:type="dxa" w:w="2448"/>
            <w:vAlign w:val="center"/>
          </w:tcPr>
          <w:p>
            <w:pPr>
              <w:spacing w:after="40"/>
            </w:pPr>
            <w:r/>
            <w:r>
              <w:rPr>
                <w:rFonts w:ascii="Aptos" w:hAnsi="Aptos"/>
                <w:b w:val="0"/>
                <w:sz w:val="20"/>
              </w:rPr>
              <w:t>Heat map entry</w:t>
            </w:r>
          </w:p>
        </w:tc>
        <w:tc>
          <w:tcPr>
            <w:tcW w:type="dxa" w:w="2448"/>
            <w:vAlign w:val="center"/>
          </w:tcPr>
          <w:p>
            <w:pPr>
              <w:spacing w:after="40"/>
            </w:pPr>
            <w:r/>
            <w:r>
              <w:rPr>
                <w:rFonts w:ascii="Aptos" w:hAnsi="Aptos"/>
                <w:b w:val="0"/>
                <w:sz w:val="20"/>
              </w:rPr>
              <w:t>optional mini heat map</w:t>
            </w:r>
          </w:p>
        </w:tc>
        <w:tc>
          <w:tcPr>
            <w:tcW w:type="dxa" w:w="2448"/>
            <w:vAlign w:val="center"/>
          </w:tcPr>
          <w:p>
            <w:pPr>
              <w:spacing w:after="40"/>
            </w:pPr>
            <w:r/>
            <w:r>
              <w:rPr>
                <w:rFonts w:ascii="Aptos" w:hAnsi="Aptos"/>
                <w:b w:val="0"/>
                <w:sz w:val="20"/>
              </w:rPr>
              <w:t>full heat map suite</w:t>
            </w:r>
          </w:p>
        </w:tc>
        <w:tc>
          <w:tcPr>
            <w:tcW w:type="dxa" w:w="2448"/>
            <w:vAlign w:val="center"/>
          </w:tcPr>
          <w:p>
            <w:pPr>
              <w:spacing w:after="40"/>
            </w:pPr>
            <w:r/>
            <w:r>
              <w:rPr>
                <w:rFonts w:ascii="Aptos" w:hAnsi="Aptos"/>
                <w:b w:val="0"/>
                <w:sz w:val="20"/>
              </w:rPr>
              <w:t>Phase 2</w:t>
            </w:r>
          </w:p>
        </w:tc>
      </w:tr>
      <w:tr>
        <w:tc>
          <w:tcPr>
            <w:tcW w:type="dxa" w:w="2448"/>
            <w:vAlign w:val="center"/>
          </w:tcPr>
          <w:p>
            <w:pPr>
              <w:spacing w:after="40"/>
            </w:pPr>
            <w:r/>
            <w:r>
              <w:rPr>
                <w:rFonts w:ascii="Aptos" w:hAnsi="Aptos"/>
                <w:b w:val="0"/>
                <w:sz w:val="20"/>
              </w:rPr>
              <w:t>Export</w:t>
            </w:r>
          </w:p>
        </w:tc>
        <w:tc>
          <w:tcPr>
            <w:tcW w:type="dxa" w:w="2448"/>
            <w:vAlign w:val="center"/>
          </w:tcPr>
          <w:p>
            <w:pPr>
              <w:spacing w:after="40"/>
            </w:pPr>
            <w:r/>
            <w:r>
              <w:rPr>
                <w:rFonts w:ascii="Aptos" w:hAnsi="Aptos"/>
                <w:b w:val="0"/>
                <w:sz w:val="20"/>
              </w:rPr>
              <w:t>CSV for team only</w:t>
            </w:r>
          </w:p>
        </w:tc>
        <w:tc>
          <w:tcPr>
            <w:tcW w:type="dxa" w:w="2448"/>
            <w:vAlign w:val="center"/>
          </w:tcPr>
          <w:p>
            <w:pPr>
              <w:spacing w:after="40"/>
            </w:pPr>
            <w:r/>
            <w:r>
              <w:rPr>
                <w:rFonts w:ascii="Aptos" w:hAnsi="Aptos"/>
                <w:b w:val="0"/>
                <w:sz w:val="20"/>
              </w:rPr>
              <w:t>CSV/PDF for company slices</w:t>
            </w:r>
          </w:p>
        </w:tc>
        <w:tc>
          <w:tcPr>
            <w:tcW w:type="dxa" w:w="2448"/>
            <w:vAlign w:val="center"/>
          </w:tcPr>
          <w:p>
            <w:pPr>
              <w:spacing w:after="40"/>
            </w:pPr>
            <w:r/>
            <w:r>
              <w:rPr>
                <w:rFonts w:ascii="Aptos" w:hAnsi="Aptos"/>
                <w:b w:val="0"/>
                <w:sz w:val="20"/>
              </w:rPr>
              <w:t>MVP</w:t>
            </w:r>
          </w:p>
        </w:tc>
      </w:tr>
    </w:tbl>
    <w:p>
      <w:pPr>
        <w:pStyle w:val="Heading1"/>
      </w:pPr>
      <w:r>
        <w:t>7.8 Heat map architecture</w:t>
      </w:r>
    </w:p>
    <w:p>
      <w:r>
        <w:t>Heat maps are one of the clearest differentiators for Edge because they translate many rows of status data into pattern recognition. They are especially useful in long-term culture journeys where the client needs to see variation by function, location, level, or cohort instead of one overall completion percentage.</w:t>
      </w:r>
    </w:p>
    <w:p>
      <w:pPr>
        <w:pStyle w:val="ListBullet"/>
      </w:pPr>
      <w:r>
        <w:t>Completion heat map by department, function, location, level, or manager.</w:t>
      </w:r>
    </w:p>
    <w:p>
      <w:pPr>
        <w:pStyle w:val="ListBullet"/>
      </w:pPr>
      <w:r>
        <w:t>Quiz score heat map by cohort or team.</w:t>
      </w:r>
    </w:p>
    <w:p>
      <w:pPr>
        <w:pStyle w:val="ListBullet"/>
      </w:pPr>
      <w:r>
        <w:t>Overdue risk heat map by role or business unit.</w:t>
      </w:r>
    </w:p>
    <w:p>
      <w:pPr>
        <w:pStyle w:val="ListBullet"/>
      </w:pPr>
      <w:r>
        <w:t>Engagement heat map by module or topic.</w:t>
      </w:r>
    </w:p>
    <w:p>
      <w:pPr>
        <w:pStyle w:val="ListBullet"/>
      </w:pPr>
      <w:r>
        <w:t>Intervention uptake heat map for culture-journey follow-through.</w:t>
      </w:r>
    </w:p>
    <w:p>
      <w:r>
        <w:t>Heat maps should support filters for company, date range, cohort, course, learning path, department, location, manager, and level. The default visual pattern should use simple colour bands rather than overly detailed charting that becomes unreadable inside Bubble.</w:t>
      </w:r>
    </w:p>
    <w:p>
      <w:pPr>
        <w:pStyle w:val="Heading1"/>
      </w:pPr>
      <w:r>
        <w:t>7.9 Consulting and culture-journey dashboards</w:t>
      </w:r>
    </w:p>
    <w:p>
      <w:r>
        <w:t>Strengthscape’s long-term advantage comes from turning LMS data into consulting intelligence. These dashboards should therefore not be generic BI clones. They should be tailored to program delivery, reinforcement, manager follow-through, and culture-change conversations.</w:t>
      </w:r>
    </w:p>
    <w:p>
      <w:pPr>
        <w:pStyle w:val="ListBullet"/>
      </w:pPr>
      <w:r>
        <w:t>Journey timeline view: prework, workshop, reinforcement, follow-up, review.</w:t>
      </w:r>
    </w:p>
    <w:p>
      <w:pPr>
        <w:pStyle w:val="ListBullet"/>
      </w:pPr>
      <w:r>
        <w:t>Cohort comparison view across locations, functions, or participant levels.</w:t>
      </w:r>
    </w:p>
    <w:p>
      <w:pPr>
        <w:pStyle w:val="ListBullet"/>
      </w:pPr>
      <w:r>
        <w:t>Manager reinforcement signal: where learning is complete but team adoption is weak.</w:t>
      </w:r>
    </w:p>
    <w:p>
      <w:pPr>
        <w:pStyle w:val="ListBullet"/>
      </w:pPr>
      <w:r>
        <w:t>AI-guided summary block using structured metrics as input, not freeform narrative alone.</w:t>
      </w:r>
    </w:p>
    <w:p>
      <w:pPr>
        <w:pStyle w:val="ListBullet"/>
      </w:pPr>
      <w:r>
        <w:t>Consultant notes layer for interpretations, risks, and next-step recommendations.</w:t>
      </w:r>
    </w:p>
    <w:p>
      <w:pPr>
        <w:pStyle w:val="Heading1"/>
      </w:pPr>
      <w:r>
        <w:t>7.10 Report filters, exports, and scheduled summaries</w:t>
      </w:r>
    </w:p>
    <w:p>
      <w:r>
        <w:t>Reporting is only useful if users can get to the slice they need quickly and share it in a usable form. Devansh should therefore treat filtering and export behavior as core functional requirements rather than optional polish.</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40"/>
            </w:pPr>
            <w:r>
              <w:rPr>
                <w:b/>
                <w:color w:val="21405F"/>
              </w:rPr>
            </w:r>
            <w:r>
              <w:rPr>
                <w:rFonts w:ascii="Aptos" w:hAnsi="Aptos"/>
                <w:b/>
                <w:color w:val="21405F"/>
                <w:sz w:val="20"/>
              </w:rPr>
              <w:t>Capability</w:t>
            </w:r>
          </w:p>
        </w:tc>
        <w:tc>
          <w:tcPr>
            <w:tcW w:type="dxa" w:w="3264"/>
            <w:vAlign w:val="center"/>
            <w:shd w:fill="D9EAF7"/>
          </w:tcPr>
          <w:p>
            <w:pPr>
              <w:spacing w:after="40"/>
            </w:pPr>
            <w:r>
              <w:rPr>
                <w:b/>
                <w:color w:val="21405F"/>
              </w:rPr>
            </w:r>
            <w:r>
              <w:rPr>
                <w:rFonts w:ascii="Aptos" w:hAnsi="Aptos"/>
                <w:b/>
                <w:color w:val="21405F"/>
                <w:sz w:val="20"/>
              </w:rPr>
              <w:t>Specification</w:t>
            </w:r>
          </w:p>
        </w:tc>
        <w:tc>
          <w:tcPr>
            <w:tcW w:type="dxa" w:w="3264"/>
            <w:vAlign w:val="center"/>
            <w:shd w:fill="D9EAF7"/>
          </w:tcPr>
          <w:p>
            <w:pPr>
              <w:spacing w:after="40"/>
            </w:pPr>
            <w:r>
              <w:rPr>
                <w:b/>
                <w:color w:val="21405F"/>
              </w:rPr>
            </w:r>
            <w:r>
              <w:rPr>
                <w:rFonts w:ascii="Aptos" w:hAnsi="Aptos"/>
                <w:b/>
                <w:color w:val="21405F"/>
                <w:sz w:val="20"/>
              </w:rPr>
              <w:t>Implementation Note</w:t>
            </w:r>
          </w:p>
        </w:tc>
      </w:tr>
      <w:tr>
        <w:tc>
          <w:tcPr>
            <w:tcW w:type="dxa" w:w="3264"/>
            <w:vAlign w:val="center"/>
          </w:tcPr>
          <w:p>
            <w:pPr>
              <w:spacing w:after="40"/>
            </w:pPr>
            <w:r/>
            <w:r>
              <w:rPr>
                <w:rFonts w:ascii="Aptos" w:hAnsi="Aptos"/>
                <w:b w:val="0"/>
                <w:sz w:val="20"/>
              </w:rPr>
              <w:t>Filter persistence</w:t>
            </w:r>
          </w:p>
        </w:tc>
        <w:tc>
          <w:tcPr>
            <w:tcW w:type="dxa" w:w="3264"/>
            <w:vAlign w:val="center"/>
          </w:tcPr>
          <w:p>
            <w:pPr>
              <w:spacing w:after="40"/>
            </w:pPr>
            <w:r/>
            <w:r>
              <w:rPr>
                <w:rFonts w:ascii="Aptos" w:hAnsi="Aptos"/>
                <w:b w:val="0"/>
                <w:sz w:val="20"/>
              </w:rPr>
              <w:t>remember last used filters per user where sensible</w:t>
            </w:r>
          </w:p>
        </w:tc>
        <w:tc>
          <w:tcPr>
            <w:tcW w:type="dxa" w:w="3264"/>
            <w:vAlign w:val="center"/>
          </w:tcPr>
          <w:p>
            <w:pPr>
              <w:spacing w:after="40"/>
            </w:pPr>
            <w:r/>
            <w:r>
              <w:rPr>
                <w:rFonts w:ascii="Aptos" w:hAnsi="Aptos"/>
                <w:b w:val="0"/>
                <w:sz w:val="20"/>
              </w:rPr>
              <w:t>reduces repetitive admin work</w:t>
            </w:r>
          </w:p>
        </w:tc>
      </w:tr>
      <w:tr>
        <w:tc>
          <w:tcPr>
            <w:tcW w:type="dxa" w:w="3264"/>
            <w:vAlign w:val="center"/>
          </w:tcPr>
          <w:p>
            <w:pPr>
              <w:spacing w:after="40"/>
            </w:pPr>
            <w:r/>
            <w:r>
              <w:rPr>
                <w:rFonts w:ascii="Aptos" w:hAnsi="Aptos"/>
                <w:b w:val="0"/>
                <w:sz w:val="20"/>
              </w:rPr>
              <w:t>CSV export</w:t>
            </w:r>
          </w:p>
        </w:tc>
        <w:tc>
          <w:tcPr>
            <w:tcW w:type="dxa" w:w="3264"/>
            <w:vAlign w:val="center"/>
          </w:tcPr>
          <w:p>
            <w:pPr>
              <w:spacing w:after="40"/>
            </w:pPr>
            <w:r/>
            <w:r>
              <w:rPr>
                <w:rFonts w:ascii="Aptos" w:hAnsi="Aptos"/>
                <w:b w:val="0"/>
                <w:sz w:val="20"/>
              </w:rPr>
              <w:t>export current filtered dataset</w:t>
            </w:r>
          </w:p>
        </w:tc>
        <w:tc>
          <w:tcPr>
            <w:tcW w:type="dxa" w:w="3264"/>
            <w:vAlign w:val="center"/>
          </w:tcPr>
          <w:p>
            <w:pPr>
              <w:spacing w:after="40"/>
            </w:pPr>
            <w:r/>
            <w:r>
              <w:rPr>
                <w:rFonts w:ascii="Aptos" w:hAnsi="Aptos"/>
                <w:b w:val="0"/>
                <w:sz w:val="20"/>
              </w:rPr>
              <w:t>MVP requirement</w:t>
            </w:r>
          </w:p>
        </w:tc>
      </w:tr>
      <w:tr>
        <w:tc>
          <w:tcPr>
            <w:tcW w:type="dxa" w:w="3264"/>
            <w:vAlign w:val="center"/>
          </w:tcPr>
          <w:p>
            <w:pPr>
              <w:spacing w:after="40"/>
            </w:pPr>
            <w:r/>
            <w:r>
              <w:rPr>
                <w:rFonts w:ascii="Aptos" w:hAnsi="Aptos"/>
                <w:b w:val="0"/>
                <w:sz w:val="20"/>
              </w:rPr>
              <w:t>PDF summary</w:t>
            </w:r>
          </w:p>
        </w:tc>
        <w:tc>
          <w:tcPr>
            <w:tcW w:type="dxa" w:w="3264"/>
            <w:vAlign w:val="center"/>
          </w:tcPr>
          <w:p>
            <w:pPr>
              <w:spacing w:after="40"/>
            </w:pPr>
            <w:r/>
            <w:r>
              <w:rPr>
                <w:rFonts w:ascii="Aptos" w:hAnsi="Aptos"/>
                <w:b w:val="0"/>
                <w:sz w:val="20"/>
              </w:rPr>
              <w:t>high-level dashboard snapshot for sponsor sharing</w:t>
            </w:r>
          </w:p>
        </w:tc>
        <w:tc>
          <w:tcPr>
            <w:tcW w:type="dxa" w:w="3264"/>
            <w:vAlign w:val="center"/>
          </w:tcPr>
          <w:p>
            <w:pPr>
              <w:spacing w:after="40"/>
            </w:pPr>
            <w:r/>
            <w:r>
              <w:rPr>
                <w:rFonts w:ascii="Aptos" w:hAnsi="Aptos"/>
                <w:b w:val="0"/>
                <w:sz w:val="20"/>
              </w:rPr>
              <w:t>Phase 2</w:t>
            </w:r>
          </w:p>
        </w:tc>
      </w:tr>
      <w:tr>
        <w:tc>
          <w:tcPr>
            <w:tcW w:type="dxa" w:w="3264"/>
            <w:vAlign w:val="center"/>
          </w:tcPr>
          <w:p>
            <w:pPr>
              <w:spacing w:after="40"/>
            </w:pPr>
            <w:r/>
            <w:r>
              <w:rPr>
                <w:rFonts w:ascii="Aptos" w:hAnsi="Aptos"/>
                <w:b w:val="0"/>
                <w:sz w:val="20"/>
              </w:rPr>
              <w:t>Scheduled email summary</w:t>
            </w:r>
          </w:p>
        </w:tc>
        <w:tc>
          <w:tcPr>
            <w:tcW w:type="dxa" w:w="3264"/>
            <w:vAlign w:val="center"/>
          </w:tcPr>
          <w:p>
            <w:pPr>
              <w:spacing w:after="40"/>
            </w:pPr>
            <w:r/>
            <w:r>
              <w:rPr>
                <w:rFonts w:ascii="Aptos" w:hAnsi="Aptos"/>
                <w:b w:val="0"/>
                <w:sz w:val="20"/>
              </w:rPr>
              <w:t>weekly or monthly digest to selected admins</w:t>
            </w:r>
          </w:p>
        </w:tc>
        <w:tc>
          <w:tcPr>
            <w:tcW w:type="dxa" w:w="3264"/>
            <w:vAlign w:val="center"/>
          </w:tcPr>
          <w:p>
            <w:pPr>
              <w:spacing w:after="40"/>
            </w:pPr>
            <w:r/>
            <w:r>
              <w:rPr>
                <w:rFonts w:ascii="Aptos" w:hAnsi="Aptos"/>
                <w:b w:val="0"/>
                <w:sz w:val="20"/>
              </w:rPr>
              <w:t>Bubble + Make</w:t>
            </w:r>
          </w:p>
        </w:tc>
      </w:tr>
      <w:tr>
        <w:tc>
          <w:tcPr>
            <w:tcW w:type="dxa" w:w="3264"/>
            <w:vAlign w:val="center"/>
          </w:tcPr>
          <w:p>
            <w:pPr>
              <w:spacing w:after="40"/>
            </w:pPr>
            <w:r/>
            <w:r>
              <w:rPr>
                <w:rFonts w:ascii="Aptos" w:hAnsi="Aptos"/>
                <w:b w:val="0"/>
                <w:sz w:val="20"/>
              </w:rPr>
              <w:t>Saved views</w:t>
            </w:r>
          </w:p>
        </w:tc>
        <w:tc>
          <w:tcPr>
            <w:tcW w:type="dxa" w:w="3264"/>
            <w:vAlign w:val="center"/>
          </w:tcPr>
          <w:p>
            <w:pPr>
              <w:spacing w:after="40"/>
            </w:pPr>
            <w:r/>
            <w:r>
              <w:rPr>
                <w:rFonts w:ascii="Aptos" w:hAnsi="Aptos"/>
                <w:b w:val="0"/>
                <w:sz w:val="20"/>
              </w:rPr>
              <w:t>optional saved report presets</w:t>
            </w:r>
          </w:p>
        </w:tc>
        <w:tc>
          <w:tcPr>
            <w:tcW w:type="dxa" w:w="3264"/>
            <w:vAlign w:val="center"/>
          </w:tcPr>
          <w:p>
            <w:pPr>
              <w:spacing w:after="40"/>
            </w:pPr>
            <w:r/>
            <w:r>
              <w:rPr>
                <w:rFonts w:ascii="Aptos" w:hAnsi="Aptos"/>
                <w:b w:val="0"/>
                <w:sz w:val="20"/>
              </w:rPr>
              <w:t>Phase 2/3</w:t>
            </w:r>
          </w:p>
        </w:tc>
      </w:tr>
    </w:tbl>
    <w:p>
      <w:pPr>
        <w:pStyle w:val="Heading1"/>
      </w:pPr>
      <w:r>
        <w:t>7.11 Bubble implementation strategy for analytics</w:t>
      </w:r>
    </w:p>
    <w:p>
      <w:r>
        <w:t>Bubble can support significant analytics if the reporting architecture is designed with discipline. The main technical risk is not visualisation itself, but expensive searches and overly dynamic calculations on large datasets.</w:t>
      </w:r>
    </w:p>
    <w:p>
      <w:pPr>
        <w:pStyle w:val="ListBullet"/>
      </w:pPr>
      <w:r>
        <w:t>Use explicit status fields and timestamps instead of inferring everything from lesson rows at runtime.</w:t>
      </w:r>
    </w:p>
    <w:p>
      <w:pPr>
        <w:pStyle w:val="ListBullet"/>
      </w:pPr>
      <w:r>
        <w:t>Store aggregate counters at enrollment, course, cohort, and company level where helpful.</w:t>
      </w:r>
    </w:p>
    <w:p>
      <w:pPr>
        <w:pStyle w:val="ListBullet"/>
      </w:pPr>
      <w:r>
        <w:t>Use backend workflows to refresh heavy summaries on schedule or after key events.</w:t>
      </w:r>
    </w:p>
    <w:p>
      <w:pPr>
        <w:pStyle w:val="ListBullet"/>
      </w:pPr>
      <w:r>
        <w:t>Precompute heat-map inputs rather than recalculating large matrix views on page load.</w:t>
      </w:r>
    </w:p>
    <w:p>
      <w:pPr>
        <w:pStyle w:val="ListBullet"/>
      </w:pPr>
      <w:r>
        <w:t>Use Make only where cross-system scheduled distribution or document generation adds value.</w:t>
      </w:r>
    </w:p>
    <w:p>
      <w:pPr>
        <w:pStyle w:val="Heading1"/>
      </w:pPr>
      <w:r>
        <w:t>7.12 Data structures needed for reporting</w:t>
      </w:r>
    </w:p>
    <w:p>
      <w:r>
        <w:t>Chapter 3 defined the core data model. This chapter adds the reporting-oriented structures and aggregated fields that make analytics efficient.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40"/>
            </w:pPr>
            <w:r>
              <w:rPr>
                <w:b/>
                <w:color w:val="21405F"/>
              </w:rPr>
            </w:r>
            <w:r>
              <w:rPr>
                <w:rFonts w:ascii="Aptos" w:hAnsi="Aptos"/>
                <w:b/>
                <w:color w:val="21405F"/>
                <w:sz w:val="20"/>
              </w:rPr>
              <w:t>Data Object / Field</w:t>
            </w:r>
          </w:p>
        </w:tc>
        <w:tc>
          <w:tcPr>
            <w:tcW w:type="dxa" w:w="2448"/>
            <w:vAlign w:val="center"/>
            <w:shd w:fill="D9EAF7"/>
          </w:tcPr>
          <w:p>
            <w:pPr>
              <w:spacing w:after="40"/>
            </w:pPr>
            <w:r>
              <w:rPr>
                <w:b/>
                <w:color w:val="21405F"/>
              </w:rPr>
            </w:r>
            <w:r>
              <w:rPr>
                <w:rFonts w:ascii="Aptos" w:hAnsi="Aptos"/>
                <w:b/>
                <w:color w:val="21405F"/>
                <w:sz w:val="20"/>
              </w:rPr>
              <w:t>Purpose</w:t>
            </w:r>
          </w:p>
        </w:tc>
        <w:tc>
          <w:tcPr>
            <w:tcW w:type="dxa" w:w="2448"/>
            <w:vAlign w:val="center"/>
            <w:shd w:fill="D9EAF7"/>
          </w:tcPr>
          <w:p>
            <w:pPr>
              <w:spacing w:after="40"/>
            </w:pPr>
            <w:r>
              <w:rPr>
                <w:b/>
                <w:color w:val="21405F"/>
              </w:rPr>
            </w:r>
            <w:r>
              <w:rPr>
                <w:rFonts w:ascii="Aptos" w:hAnsi="Aptos"/>
                <w:b/>
                <w:color w:val="21405F"/>
                <w:sz w:val="20"/>
              </w:rPr>
              <w:t>Example Fields</w:t>
            </w:r>
          </w:p>
        </w:tc>
        <w:tc>
          <w:tcPr>
            <w:tcW w:type="dxa" w:w="2448"/>
            <w:vAlign w:val="center"/>
            <w:shd w:fill="D9EAF7"/>
          </w:tcPr>
          <w:p>
            <w:pPr>
              <w:spacing w:after="40"/>
            </w:pPr>
            <w:r>
              <w:rPr>
                <w:b/>
                <w:color w:val="21405F"/>
              </w:rPr>
            </w:r>
            <w:r>
              <w:rPr>
                <w:rFonts w:ascii="Aptos" w:hAnsi="Aptos"/>
                <w:b/>
                <w:color w:val="21405F"/>
                <w:sz w:val="20"/>
              </w:rPr>
              <w:t>Phase</w:t>
            </w:r>
          </w:p>
        </w:tc>
      </w:tr>
      <w:tr>
        <w:tc>
          <w:tcPr>
            <w:tcW w:type="dxa" w:w="2448"/>
            <w:vAlign w:val="center"/>
          </w:tcPr>
          <w:p>
            <w:pPr>
              <w:spacing w:after="40"/>
            </w:pPr>
            <w:r/>
            <w:r>
              <w:rPr>
                <w:rFonts w:ascii="Aptos" w:hAnsi="Aptos"/>
                <w:b w:val="0"/>
                <w:sz w:val="20"/>
              </w:rPr>
              <w:t>ProgressRecord</w:t>
            </w:r>
          </w:p>
        </w:tc>
        <w:tc>
          <w:tcPr>
            <w:tcW w:type="dxa" w:w="2448"/>
            <w:vAlign w:val="center"/>
          </w:tcPr>
          <w:p>
            <w:pPr>
              <w:spacing w:after="40"/>
            </w:pPr>
            <w:r/>
            <w:r>
              <w:rPr>
                <w:rFonts w:ascii="Aptos" w:hAnsi="Aptos"/>
                <w:b w:val="0"/>
                <w:sz w:val="20"/>
              </w:rPr>
              <w:t>lesson or module progress detail</w:t>
            </w:r>
          </w:p>
        </w:tc>
        <w:tc>
          <w:tcPr>
            <w:tcW w:type="dxa" w:w="2448"/>
            <w:vAlign w:val="center"/>
          </w:tcPr>
          <w:p>
            <w:pPr>
              <w:spacing w:after="40"/>
            </w:pPr>
            <w:r/>
            <w:r>
              <w:rPr>
                <w:rFonts w:ascii="Aptos" w:hAnsi="Aptos"/>
                <w:b w:val="0"/>
                <w:sz w:val="20"/>
              </w:rPr>
              <w:t>started_at, completed_at, score, status</w:t>
            </w:r>
          </w:p>
        </w:tc>
        <w:tc>
          <w:tcPr>
            <w:tcW w:type="dxa" w:w="2448"/>
            <w:vAlign w:val="center"/>
          </w:tcPr>
          <w:p>
            <w:pPr>
              <w:spacing w:after="40"/>
            </w:pPr>
            <w:r/>
            <w:r>
              <w:rPr>
                <w:rFonts w:ascii="Aptos" w:hAnsi="Aptos"/>
                <w:b w:val="0"/>
                <w:sz w:val="20"/>
              </w:rPr>
              <w:t>MVP</w:t>
            </w:r>
          </w:p>
        </w:tc>
      </w:tr>
      <w:tr>
        <w:tc>
          <w:tcPr>
            <w:tcW w:type="dxa" w:w="2448"/>
            <w:vAlign w:val="center"/>
          </w:tcPr>
          <w:p>
            <w:pPr>
              <w:spacing w:after="40"/>
            </w:pPr>
            <w:r/>
            <w:r>
              <w:rPr>
                <w:rFonts w:ascii="Aptos" w:hAnsi="Aptos"/>
                <w:b w:val="0"/>
                <w:sz w:val="20"/>
              </w:rPr>
              <w:t>Enrollment aggregates</w:t>
            </w:r>
          </w:p>
        </w:tc>
        <w:tc>
          <w:tcPr>
            <w:tcW w:type="dxa" w:w="2448"/>
            <w:vAlign w:val="center"/>
          </w:tcPr>
          <w:p>
            <w:pPr>
              <w:spacing w:after="40"/>
            </w:pPr>
            <w:r/>
            <w:r>
              <w:rPr>
                <w:rFonts w:ascii="Aptos" w:hAnsi="Aptos"/>
                <w:b w:val="0"/>
                <w:sz w:val="20"/>
              </w:rPr>
              <w:t>quick course-level status</w:t>
            </w:r>
          </w:p>
        </w:tc>
        <w:tc>
          <w:tcPr>
            <w:tcW w:type="dxa" w:w="2448"/>
            <w:vAlign w:val="center"/>
          </w:tcPr>
          <w:p>
            <w:pPr>
              <w:spacing w:after="40"/>
            </w:pPr>
            <w:r/>
            <w:r>
              <w:rPr>
                <w:rFonts w:ascii="Aptos" w:hAnsi="Aptos"/>
                <w:b w:val="0"/>
                <w:sz w:val="20"/>
              </w:rPr>
              <w:t>pct_complete, due_state, last_activity_at</w:t>
            </w:r>
          </w:p>
        </w:tc>
        <w:tc>
          <w:tcPr>
            <w:tcW w:type="dxa" w:w="2448"/>
            <w:vAlign w:val="center"/>
          </w:tcPr>
          <w:p>
            <w:pPr>
              <w:spacing w:after="40"/>
            </w:pPr>
            <w:r/>
            <w:r>
              <w:rPr>
                <w:rFonts w:ascii="Aptos" w:hAnsi="Aptos"/>
                <w:b w:val="0"/>
                <w:sz w:val="20"/>
              </w:rPr>
              <w:t>MVP</w:t>
            </w:r>
          </w:p>
        </w:tc>
      </w:tr>
      <w:tr>
        <w:tc>
          <w:tcPr>
            <w:tcW w:type="dxa" w:w="2448"/>
            <w:vAlign w:val="center"/>
          </w:tcPr>
          <w:p>
            <w:pPr>
              <w:spacing w:after="40"/>
            </w:pPr>
            <w:r/>
            <w:r>
              <w:rPr>
                <w:rFonts w:ascii="Aptos" w:hAnsi="Aptos"/>
                <w:b w:val="0"/>
                <w:sz w:val="20"/>
              </w:rPr>
              <w:t>CohortMetrics</w:t>
            </w:r>
          </w:p>
        </w:tc>
        <w:tc>
          <w:tcPr>
            <w:tcW w:type="dxa" w:w="2448"/>
            <w:vAlign w:val="center"/>
          </w:tcPr>
          <w:p>
            <w:pPr>
              <w:spacing w:after="40"/>
            </w:pPr>
            <w:r/>
            <w:r>
              <w:rPr>
                <w:rFonts w:ascii="Aptos" w:hAnsi="Aptos"/>
                <w:b w:val="0"/>
                <w:sz w:val="20"/>
              </w:rPr>
              <w:t>cohort dashboard summaries</w:t>
            </w:r>
          </w:p>
        </w:tc>
        <w:tc>
          <w:tcPr>
            <w:tcW w:type="dxa" w:w="2448"/>
            <w:vAlign w:val="center"/>
          </w:tcPr>
          <w:p>
            <w:pPr>
              <w:spacing w:after="40"/>
            </w:pPr>
            <w:r/>
            <w:r>
              <w:rPr>
                <w:rFonts w:ascii="Aptos" w:hAnsi="Aptos"/>
                <w:b w:val="0"/>
                <w:sz w:val="20"/>
              </w:rPr>
              <w:t>completion_pct, avg_score, overdue_count</w:t>
            </w:r>
          </w:p>
        </w:tc>
        <w:tc>
          <w:tcPr>
            <w:tcW w:type="dxa" w:w="2448"/>
            <w:vAlign w:val="center"/>
          </w:tcPr>
          <w:p>
            <w:pPr>
              <w:spacing w:after="40"/>
            </w:pPr>
            <w:r/>
            <w:r>
              <w:rPr>
                <w:rFonts w:ascii="Aptos" w:hAnsi="Aptos"/>
                <w:b w:val="0"/>
                <w:sz w:val="20"/>
              </w:rPr>
              <w:t>Phase 2</w:t>
            </w:r>
          </w:p>
        </w:tc>
      </w:tr>
      <w:tr>
        <w:tc>
          <w:tcPr>
            <w:tcW w:type="dxa" w:w="2448"/>
            <w:vAlign w:val="center"/>
          </w:tcPr>
          <w:p>
            <w:pPr>
              <w:spacing w:after="40"/>
            </w:pPr>
            <w:r/>
            <w:r>
              <w:rPr>
                <w:rFonts w:ascii="Aptos" w:hAnsi="Aptos"/>
                <w:b w:val="0"/>
                <w:sz w:val="20"/>
              </w:rPr>
              <w:t>HeatmapSnapshot</w:t>
            </w:r>
          </w:p>
        </w:tc>
        <w:tc>
          <w:tcPr>
            <w:tcW w:type="dxa" w:w="2448"/>
            <w:vAlign w:val="center"/>
          </w:tcPr>
          <w:p>
            <w:pPr>
              <w:spacing w:after="40"/>
            </w:pPr>
            <w:r/>
            <w:r>
              <w:rPr>
                <w:rFonts w:ascii="Aptos" w:hAnsi="Aptos"/>
                <w:b w:val="0"/>
                <w:sz w:val="20"/>
              </w:rPr>
              <w:t>matrix-ready data</w:t>
            </w:r>
          </w:p>
        </w:tc>
        <w:tc>
          <w:tcPr>
            <w:tcW w:type="dxa" w:w="2448"/>
            <w:vAlign w:val="center"/>
          </w:tcPr>
          <w:p>
            <w:pPr>
              <w:spacing w:after="40"/>
            </w:pPr>
            <w:r/>
            <w:r>
              <w:rPr>
                <w:rFonts w:ascii="Aptos" w:hAnsi="Aptos"/>
                <w:b w:val="0"/>
                <w:sz w:val="20"/>
              </w:rPr>
              <w:t>dimension_a, dimension_b, metric_value, colour_band</w:t>
            </w:r>
          </w:p>
        </w:tc>
        <w:tc>
          <w:tcPr>
            <w:tcW w:type="dxa" w:w="2448"/>
            <w:vAlign w:val="center"/>
          </w:tcPr>
          <w:p>
            <w:pPr>
              <w:spacing w:after="40"/>
            </w:pPr>
            <w:r/>
            <w:r>
              <w:rPr>
                <w:rFonts w:ascii="Aptos" w:hAnsi="Aptos"/>
                <w:b w:val="0"/>
                <w:sz w:val="20"/>
              </w:rPr>
              <w:t>Phase 2</w:t>
            </w:r>
          </w:p>
        </w:tc>
      </w:tr>
      <w:tr>
        <w:tc>
          <w:tcPr>
            <w:tcW w:type="dxa" w:w="2448"/>
            <w:vAlign w:val="center"/>
          </w:tcPr>
          <w:p>
            <w:pPr>
              <w:spacing w:after="40"/>
            </w:pPr>
            <w:r/>
            <w:r>
              <w:rPr>
                <w:rFonts w:ascii="Aptos" w:hAnsi="Aptos"/>
                <w:b w:val="0"/>
                <w:sz w:val="20"/>
              </w:rPr>
              <w:t>ReportPreset</w:t>
            </w:r>
          </w:p>
        </w:tc>
        <w:tc>
          <w:tcPr>
            <w:tcW w:type="dxa" w:w="2448"/>
            <w:vAlign w:val="center"/>
          </w:tcPr>
          <w:p>
            <w:pPr>
              <w:spacing w:after="40"/>
            </w:pPr>
            <w:r/>
            <w:r>
              <w:rPr>
                <w:rFonts w:ascii="Aptos" w:hAnsi="Aptos"/>
                <w:b w:val="0"/>
                <w:sz w:val="20"/>
              </w:rPr>
              <w:t>saved filters and layouts</w:t>
            </w:r>
          </w:p>
        </w:tc>
        <w:tc>
          <w:tcPr>
            <w:tcW w:type="dxa" w:w="2448"/>
            <w:vAlign w:val="center"/>
          </w:tcPr>
          <w:p>
            <w:pPr>
              <w:spacing w:after="40"/>
            </w:pPr>
            <w:r/>
            <w:r>
              <w:rPr>
                <w:rFonts w:ascii="Aptos" w:hAnsi="Aptos"/>
                <w:b w:val="0"/>
                <w:sz w:val="20"/>
              </w:rPr>
              <w:t>user, filters_json, report_type</w:t>
            </w:r>
          </w:p>
        </w:tc>
        <w:tc>
          <w:tcPr>
            <w:tcW w:type="dxa" w:w="2448"/>
            <w:vAlign w:val="center"/>
          </w:tcPr>
          <w:p>
            <w:pPr>
              <w:spacing w:after="40"/>
            </w:pPr>
            <w:r/>
            <w:r>
              <w:rPr>
                <w:rFonts w:ascii="Aptos" w:hAnsi="Aptos"/>
                <w:b w:val="0"/>
                <w:sz w:val="20"/>
              </w:rPr>
              <w:t>Phase 2/3</w:t>
            </w:r>
          </w:p>
        </w:tc>
      </w:tr>
      <w:tr>
        <w:tc>
          <w:tcPr>
            <w:tcW w:type="dxa" w:w="2448"/>
            <w:vAlign w:val="center"/>
          </w:tcPr>
          <w:p>
            <w:pPr>
              <w:spacing w:after="40"/>
            </w:pPr>
            <w:r/>
            <w:r>
              <w:rPr>
                <w:rFonts w:ascii="Aptos" w:hAnsi="Aptos"/>
                <w:b w:val="0"/>
                <w:sz w:val="20"/>
              </w:rPr>
              <w:t>InsightSummary</w:t>
            </w:r>
          </w:p>
        </w:tc>
        <w:tc>
          <w:tcPr>
            <w:tcW w:type="dxa" w:w="2448"/>
            <w:vAlign w:val="center"/>
          </w:tcPr>
          <w:p>
            <w:pPr>
              <w:spacing w:after="40"/>
            </w:pPr>
            <w:r/>
            <w:r>
              <w:rPr>
                <w:rFonts w:ascii="Aptos" w:hAnsi="Aptos"/>
                <w:b w:val="0"/>
                <w:sz w:val="20"/>
              </w:rPr>
              <w:t>consulting or AI summary cache</w:t>
            </w:r>
          </w:p>
        </w:tc>
        <w:tc>
          <w:tcPr>
            <w:tcW w:type="dxa" w:w="2448"/>
            <w:vAlign w:val="center"/>
          </w:tcPr>
          <w:p>
            <w:pPr>
              <w:spacing w:after="40"/>
            </w:pPr>
            <w:r/>
            <w:r>
              <w:rPr>
                <w:rFonts w:ascii="Aptos" w:hAnsi="Aptos"/>
                <w:b w:val="0"/>
                <w:sz w:val="20"/>
              </w:rPr>
              <w:t>scope, summary_text, generated_at</w:t>
            </w:r>
          </w:p>
        </w:tc>
        <w:tc>
          <w:tcPr>
            <w:tcW w:type="dxa" w:w="2448"/>
            <w:vAlign w:val="center"/>
          </w:tcPr>
          <w:p>
            <w:pPr>
              <w:spacing w:after="40"/>
            </w:pPr>
            <w:r/>
            <w:r>
              <w:rPr>
                <w:rFonts w:ascii="Aptos" w:hAnsi="Aptos"/>
                <w:b w:val="0"/>
                <w:sz w:val="20"/>
              </w:rPr>
              <w:t>Phase 3</w:t>
            </w:r>
          </w:p>
        </w:tc>
      </w:tr>
    </w:tbl>
    <w:p>
      <w:pPr>
        <w:pStyle w:val="Heading1"/>
      </w:pPr>
      <w:r>
        <w:t>7.13 Acceptance criteria for Chapter 7</w:t>
      </w:r>
    </w:p>
    <w:p>
      <w:r>
        <w:t>Reporting features should only be considered complete if they serve actual decision-making, not just visual display. The acceptance criteria below define what Devansh should prove before this chapter is marked ready.</w:t>
      </w:r>
    </w:p>
    <w:p>
      <w:pPr>
        <w:pStyle w:val="ListBullet"/>
      </w:pPr>
      <w:r>
        <w:t>A learner can see assigned, in-progress, completed, and overdue learning without confusion.</w:t>
      </w:r>
    </w:p>
    <w:p>
      <w:pPr>
        <w:pStyle w:val="ListBullet"/>
      </w:pPr>
      <w:r>
        <w:t>A manager can filter their team and export completion and overdue status.</w:t>
      </w:r>
    </w:p>
    <w:p>
      <w:pPr>
        <w:pStyle w:val="ListBullet"/>
      </w:pPr>
      <w:r>
        <w:t>A client admin can view completion by cohort, team, or department and export filtered data.</w:t>
      </w:r>
    </w:p>
    <w:p>
      <w:pPr>
        <w:pStyle w:val="ListBullet"/>
      </w:pPr>
      <w:r>
        <w:t>Heat maps can be generated for at least one completion metric and one score metric.</w:t>
      </w:r>
    </w:p>
    <w:p>
      <w:pPr>
        <w:pStyle w:val="ListBullet"/>
      </w:pPr>
      <w:r>
        <w:t>Reports respect company isolation and role permissions.</w:t>
      </w:r>
    </w:p>
    <w:p>
      <w:pPr>
        <w:pStyle w:val="ListBullet"/>
      </w:pPr>
      <w:r>
        <w:t>Heavy dashboards do not depend on inefficient full-table live calculations for every page load.</w:t>
      </w:r>
    </w:p>
    <w:p>
      <w:pPr>
        <w:pStyle w:val="ListBullet"/>
      </w:pPr>
      <w:r>
        <w:t>The platform can produce at least one scheduled summary flow through Bubble or Make.</w:t>
      </w:r>
    </w:p>
    <w:p>
      <w:pPr>
        <w:pStyle w:val="Heading1"/>
      </w:pPr>
      <w:r>
        <w:t>7.14 Build recommendations for later phases</w:t>
      </w:r>
    </w:p>
    <w:p>
      <w:r>
        <w:t>Some analytics should be built now, some should be designed now but activated later. This avoids unnecessary early complexity while preserving long-term architectural readiness.</w:t>
      </w:r>
    </w:p>
    <w:p>
      <w:pPr>
        <w:pStyle w:val="ListBullet"/>
      </w:pPr>
      <w:r>
        <w:rPr>
          <w:b/>
        </w:rPr>
        <w:t xml:space="preserve">Now: </w:t>
      </w:r>
      <w:r>
        <w:t>completion dashboards, overdue tracking, learner progress, CSV exports</w:t>
      </w:r>
    </w:p>
    <w:p>
      <w:pPr>
        <w:pStyle w:val="ListBullet"/>
      </w:pPr>
      <w:r>
        <w:rPr>
          <w:b/>
        </w:rPr>
        <w:t xml:space="preserve">Design now, build later: </w:t>
      </w:r>
      <w:r>
        <w:t>heat maps, scheduled reports, cohort comparisons, saved report presets</w:t>
      </w:r>
    </w:p>
    <w:p>
      <w:pPr>
        <w:pStyle w:val="ListBullet"/>
      </w:pPr>
      <w:r>
        <w:rPr>
          <w:b/>
        </w:rPr>
        <w:t xml:space="preserve">Future 2030 direction: </w:t>
      </w:r>
      <w:r>
        <w:t>predictive risk scoring, AI executive narration, intervention recommendations</w:t>
      </w:r>
    </w:p>
    <w:p>
      <w:r>
        <w:rPr>
          <w:b/>
          <w:color w:val="21405F"/>
        </w:rPr>
        <w:t>Chapter 8 will cover Commerce, Subscription, Billing, Access Control by Plan, and Monetisation Design.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21405F"/>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1405F"/>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2140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140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