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Ablation and Encoder Study</w:t>
      </w:r>
    </w:p>
    <w:p>
      <w:pPr>
        <w:spacing w:after="160"/>
      </w:pPr>
      <w:r>
        <w:rPr>
          <w:i/>
          <w:color w:val="5B6B79"/>
          <w:sz w:val="24"/>
        </w:rPr>
        <w:t>Optimization-Based Deep Learning Framework for Kidney Disease Detection and Segmentation from Ultrasound Images</w:t>
      </w:r>
    </w:p>
    <w:p>
      <w:pPr>
        <w:spacing w:after="160"/>
      </w:pPr>
      <w:r>
        <w:rPr>
          <w:i w:val="0"/>
          <w:color w:val="1A2233"/>
          <w:sz w:val="21"/>
        </w:rPr>
        <w:t>Generated 25 September 2026  ·  30 training runs  ·  3 seeds per configuration  ·  Produced by Ablation_and_Encoder_Study.ipynb</w:t>
      </w:r>
    </w:p>
    <w:p>
      <w:pPr>
        <w:pStyle w:val="Heading1"/>
      </w:pPr>
      <w:r>
        <w:t>1. Protocol</w:t>
      </w:r>
    </w:p>
    <w:p>
      <w:pPr>
        <w:spacing w:after="160"/>
      </w:pPr>
      <w:r>
        <w:rPr>
          <w:i w:val="0"/>
          <w:color w:val="1A2233"/>
          <w:sz w:val="21"/>
        </w:rPr>
        <w:t>Two studies share one protocol. The module ablation switches off each component of the multi-task model in turn, holding everything else fixed. The encoder comparison replaces the ResNet-34 backbone with three lighter alternatives, holding the model and training fixed.</w:t>
      </w:r>
    </w:p>
    <w:p>
      <w:pPr>
        <w:pStyle w:val="ListBullet"/>
        <w:spacing w:after="80"/>
      </w:pPr>
      <w:r>
        <w:rPr>
          <w:b/>
          <w:sz w:val="21"/>
        </w:rPr>
        <w:t xml:space="preserve">Seeds. </w:t>
      </w:r>
      <w:r>
        <w:rPr>
          <w:sz w:val="21"/>
        </w:rPr>
        <w:t>3 per configuration, reported as mean ± standard deviation. Single runs are not interpretable on this dataset: retraining an identical recipe with a different seed moves AUC by up to 0.074.</w:t>
      </w:r>
    </w:p>
    <w:p>
      <w:pPr>
        <w:pStyle w:val="ListBullet"/>
        <w:spacing w:after="80"/>
      </w:pPr>
      <w:r>
        <w:rPr>
          <w:b/>
          <w:sz w:val="21"/>
        </w:rPr>
        <w:t xml:space="preserve">Fidelity. </w:t>
      </w:r>
      <w:r>
        <w:rPr>
          <w:sz w:val="21"/>
        </w:rPr>
        <w:t>256 × 256 input, 12 epochs, batch 8. This is deliberately below the 512 × 512 / 15-epoch protocol used for the headline results, so the absolute values here are lower and should be compared only with each other.</w:t>
      </w:r>
    </w:p>
    <w:p>
      <w:pPr>
        <w:pStyle w:val="ListBullet"/>
        <w:spacing w:after="80"/>
      </w:pPr>
      <w:r>
        <w:rPr>
          <w:b/>
          <w:sz w:val="21"/>
        </w:rPr>
        <w:t xml:space="preserve">No checkpoint selection. </w:t>
      </w:r>
      <w:r>
        <w:rPr>
          <w:sz w:val="21"/>
        </w:rPr>
        <w:t>The final-epoch model is evaluated. Selecting a checkpoint on a noisy validation metric was previously shown to shift AUC by about 0.037, which would confound the comparison.</w:t>
      </w:r>
    </w:p>
    <w:p>
      <w:pPr>
        <w:pStyle w:val="ListBullet"/>
        <w:spacing w:after="80"/>
      </w:pPr>
      <w:r>
        <w:rPr>
          <w:b/>
          <w:sz w:val="21"/>
        </w:rPr>
        <w:t xml:space="preserve">Operating point. </w:t>
      </w:r>
      <w:r>
        <w:rPr>
          <w:sz w:val="21"/>
        </w:rPr>
        <w:t>The decision threshold is chosen on validation within each run and applied to test; it is never tuned on test.</w:t>
      </w:r>
    </w:p>
    <w:p>
      <w:pPr>
        <w:pStyle w:val="ListBullet"/>
        <w:spacing w:after="80"/>
      </w:pPr>
      <w:r>
        <w:rPr>
          <w:b/>
          <w:sz w:val="21"/>
        </w:rPr>
        <w:t xml:space="preserve">Cost. </w:t>
      </w:r>
      <w:r>
        <w:rPr>
          <w:sz w:val="21"/>
        </w:rPr>
        <w:t>Mean 3.7 minutes per run on an RTX 3050 Laptop GPU.</w:t>
      </w:r>
    </w:p>
    <w:p>
      <w:pPr>
        <w:spacing w:after="160"/>
      </w:pPr>
      <w:r>
        <w:rPr>
          <w:i/>
          <w:color w:val="5B6B79"/>
          <w:sz w:val="21"/>
        </w:rPr>
        <w:t>Interpretation rule used throughout: a difference is called real only if it exceeds the run-to-run spread. With 3 seeds this study can detect large effects, not small ones, and differences below roughly 0.026 AUC are reported as "within noise" regardless of their sign.</w:t>
      </w:r>
    </w:p>
    <w:p>
      <w:pPr>
        <w:pStyle w:val="Heading1"/>
      </w:pPr>
      <w:r>
        <w:t>2. Module ablation</w:t>
      </w:r>
    </w:p>
    <w:p>
      <w:pPr>
        <w:spacing w:after="160"/>
      </w:pPr>
      <w:r>
        <w:rPr>
          <w:i w:val="0"/>
          <w:color w:val="1A2233"/>
          <w:sz w:val="21"/>
        </w:rPr>
        <w:t>Each row removes one component from the full model. Because the encoder is shared, removing a head also removes the auxiliary supervision it provided, so a drop measures the loss of that training signal as well as the loss of the output.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304"/>
          </w:tcPr>
          <w:p>
            <w:r/>
            <w:r>
              <w:rPr>
                <w:b/>
                <w:sz w:val="18"/>
              </w:rPr>
              <w:t>Configuration</w:t>
            </w:r>
          </w:p>
        </w:tc>
        <w:tc>
          <w:tcPr>
            <w:tcW w:type="dxa" w:w="936"/>
          </w:tcPr>
          <w:p>
            <w:r/>
            <w:r>
              <w:rPr>
                <w:b/>
                <w:sz w:val="18"/>
              </w:rPr>
              <w:t>Params</w:t>
            </w:r>
          </w:p>
        </w:tc>
        <w:tc>
          <w:tcPr>
            <w:tcW w:type="dxa" w:w="1800"/>
          </w:tcPr>
          <w:p>
            <w:r/>
            <w:r>
              <w:rPr>
                <w:b/>
                <w:sz w:val="18"/>
              </w:rPr>
              <w:t>Diagnosis AUC</w:t>
            </w:r>
          </w:p>
        </w:tc>
        <w:tc>
          <w:tcPr>
            <w:tcW w:type="dxa" w:w="1872"/>
          </w:tcPr>
          <w:p>
            <w:r/>
            <w:r>
              <w:rPr>
                <w:b/>
                <w:sz w:val="18"/>
              </w:rPr>
              <w:t>Multi-pathology AUC</w:t>
            </w:r>
          </w:p>
        </w:tc>
        <w:tc>
          <w:tcPr>
            <w:tcW w:type="dxa" w:w="1728"/>
          </w:tcPr>
          <w:p>
            <w:r/>
            <w:r>
              <w:rPr>
                <w:b/>
                <w:sz w:val="18"/>
              </w:rPr>
              <w:t>Kidney Dice</w:t>
            </w:r>
          </w:p>
        </w:tc>
        <w:tc>
          <w:tcPr>
            <w:tcW w:type="dxa" w:w="2016"/>
          </w:tcPr>
          <w:p>
            <w:r/>
            <w:r>
              <w:rPr>
                <w:b/>
                <w:sz w:val="18"/>
              </w:rPr>
              <w:t>vs full model</w:t>
            </w:r>
          </w:p>
        </w:tc>
      </w:tr>
      <w:tr>
        <w:tc>
          <w:tcPr>
            <w:tcW w:type="dxa" w:w="2304"/>
          </w:tcPr>
          <w:p>
            <w:r/>
            <w:r>
              <w:rPr>
                <w:sz w:val="18"/>
              </w:rPr>
              <w:t>Full model (reference)</w:t>
            </w:r>
          </w:p>
        </w:tc>
        <w:tc>
          <w:tcPr>
            <w:tcW w:type="dxa" w:w="936"/>
          </w:tcPr>
          <w:p>
            <w:r/>
            <w:r>
              <w:rPr>
                <w:sz w:val="18"/>
              </w:rPr>
              <w:t>24.44 M</w:t>
            </w:r>
          </w:p>
        </w:tc>
        <w:tc>
          <w:tcPr>
            <w:tcW w:type="dxa" w:w="1800"/>
          </w:tcPr>
          <w:p>
            <w:r/>
            <w:r>
              <w:rPr>
                <w:sz w:val="18"/>
              </w:rPr>
              <w:t>0.8607 ± 0.0399</w:t>
            </w:r>
          </w:p>
        </w:tc>
        <w:tc>
          <w:tcPr>
            <w:tcW w:type="dxa" w:w="1872"/>
          </w:tcPr>
          <w:p>
            <w:r/>
            <w:r>
              <w:rPr>
                <w:sz w:val="18"/>
              </w:rPr>
              <w:t>0.8105 ± 0.0037</w:t>
            </w:r>
          </w:p>
        </w:tc>
        <w:tc>
          <w:tcPr>
            <w:tcW w:type="dxa" w:w="1728"/>
          </w:tcPr>
          <w:p>
            <w:r/>
            <w:r>
              <w:rPr>
                <w:sz w:val="18"/>
              </w:rPr>
              <w:t>0.8116 ± 0.0384</w:t>
            </w:r>
          </w:p>
        </w:tc>
        <w:tc>
          <w:tcPr>
            <w:tcW w:type="dxa" w:w="2016"/>
          </w:tcPr>
          <w:p>
            <w:r/>
            <w:r>
              <w:rPr>
                <w:sz w:val="18"/>
              </w:rPr>
              <w:t>reference</w:t>
            </w:r>
          </w:p>
        </w:tc>
      </w:tr>
      <w:tr>
        <w:tc>
          <w:tcPr>
            <w:tcW w:type="dxa" w:w="2304"/>
          </w:tcPr>
          <w:p>
            <w:r/>
            <w:r>
              <w:rPr>
                <w:sz w:val="18"/>
              </w:rPr>
              <w:t>Without lesion-guided pooling</w:t>
            </w:r>
          </w:p>
        </w:tc>
        <w:tc>
          <w:tcPr>
            <w:tcW w:type="dxa" w:w="936"/>
          </w:tcPr>
          <w:p>
            <w:r/>
            <w:r>
              <w:rPr>
                <w:sz w:val="18"/>
              </w:rPr>
              <w:t>24.44 M</w:t>
            </w:r>
          </w:p>
        </w:tc>
        <w:tc>
          <w:tcPr>
            <w:tcW w:type="dxa" w:w="1800"/>
          </w:tcPr>
          <w:p>
            <w:r/>
            <w:r>
              <w:rPr>
                <w:sz w:val="18"/>
              </w:rPr>
              <w:t>0.8813 ± 0.0080</w:t>
            </w:r>
          </w:p>
        </w:tc>
        <w:tc>
          <w:tcPr>
            <w:tcW w:type="dxa" w:w="1872"/>
          </w:tcPr>
          <w:p>
            <w:r/>
            <w:r>
              <w:rPr>
                <w:sz w:val="18"/>
              </w:rPr>
              <w:t>0.7677 ± 0.0211</w:t>
            </w:r>
          </w:p>
        </w:tc>
        <w:tc>
          <w:tcPr>
            <w:tcW w:type="dxa" w:w="1728"/>
          </w:tcPr>
          <w:p>
            <w:r/>
            <w:r>
              <w:rPr>
                <w:sz w:val="18"/>
              </w:rPr>
              <w:t>0.7621 ± 0.0395</w:t>
            </w:r>
          </w:p>
        </w:tc>
        <w:tc>
          <w:tcPr>
            <w:tcW w:type="dxa" w:w="2016"/>
          </w:tcPr>
          <w:p>
            <w:r/>
            <w:r>
              <w:rPr>
                <w:sz w:val="18"/>
              </w:rPr>
              <w:t>+0.0206 (within noise)</w:t>
            </w:r>
          </w:p>
        </w:tc>
      </w:tr>
      <w:tr>
        <w:tc>
          <w:tcPr>
            <w:tcW w:type="dxa" w:w="2304"/>
          </w:tcPr>
          <w:p>
            <w:r/>
            <w:r>
              <w:rPr>
                <w:sz w:val="18"/>
              </w:rPr>
              <w:t>Without anatomical consistency</w:t>
            </w:r>
          </w:p>
        </w:tc>
        <w:tc>
          <w:tcPr>
            <w:tcW w:type="dxa" w:w="936"/>
          </w:tcPr>
          <w:p>
            <w:r/>
            <w:r>
              <w:rPr>
                <w:sz w:val="18"/>
              </w:rPr>
              <w:t>24.44 M</w:t>
            </w:r>
          </w:p>
        </w:tc>
        <w:tc>
          <w:tcPr>
            <w:tcW w:type="dxa" w:w="1800"/>
          </w:tcPr>
          <w:p>
            <w:r/>
            <w:r>
              <w:rPr>
                <w:sz w:val="18"/>
              </w:rPr>
              <w:t>0.8825 ± 0.0143</w:t>
            </w:r>
          </w:p>
        </w:tc>
        <w:tc>
          <w:tcPr>
            <w:tcW w:type="dxa" w:w="1872"/>
          </w:tcPr>
          <w:p>
            <w:r/>
            <w:r>
              <w:rPr>
                <w:sz w:val="18"/>
              </w:rPr>
              <w:t>0.7903 ± 0.0311</w:t>
            </w:r>
          </w:p>
        </w:tc>
        <w:tc>
          <w:tcPr>
            <w:tcW w:type="dxa" w:w="1728"/>
          </w:tcPr>
          <w:p>
            <w:r/>
            <w:r>
              <w:rPr>
                <w:sz w:val="18"/>
              </w:rPr>
              <w:t>0.8048 ± 0.0096</w:t>
            </w:r>
          </w:p>
        </w:tc>
        <w:tc>
          <w:tcPr>
            <w:tcW w:type="dxa" w:w="2016"/>
          </w:tcPr>
          <w:p>
            <w:r/>
            <w:r>
              <w:rPr>
                <w:sz w:val="18"/>
              </w:rPr>
              <w:t>+0.0218 (within noise)</w:t>
            </w:r>
          </w:p>
        </w:tc>
      </w:tr>
      <w:tr>
        <w:tc>
          <w:tcPr>
            <w:tcW w:type="dxa" w:w="2304"/>
          </w:tcPr>
          <w:p>
            <w:r/>
            <w:r>
              <w:rPr>
                <w:sz w:val="18"/>
              </w:rPr>
              <w:t>Without lesion segmentation</w:t>
            </w:r>
          </w:p>
        </w:tc>
        <w:tc>
          <w:tcPr>
            <w:tcW w:type="dxa" w:w="936"/>
          </w:tcPr>
          <w:p>
            <w:r/>
            <w:r>
              <w:rPr>
                <w:sz w:val="18"/>
              </w:rPr>
              <w:t>22.86 M</w:t>
            </w:r>
          </w:p>
        </w:tc>
        <w:tc>
          <w:tcPr>
            <w:tcW w:type="dxa" w:w="1800"/>
          </w:tcPr>
          <w:p>
            <w:r/>
            <w:r>
              <w:rPr>
                <w:sz w:val="18"/>
              </w:rPr>
              <w:t>0.8728 ± 0.0270</w:t>
            </w:r>
          </w:p>
        </w:tc>
        <w:tc>
          <w:tcPr>
            <w:tcW w:type="dxa" w:w="1872"/>
          </w:tcPr>
          <w:p>
            <w:r/>
            <w:r>
              <w:rPr>
                <w:sz w:val="18"/>
              </w:rPr>
              <w:t>0.7823 ± 0.0206</w:t>
            </w:r>
          </w:p>
        </w:tc>
        <w:tc>
          <w:tcPr>
            <w:tcW w:type="dxa" w:w="1728"/>
          </w:tcPr>
          <w:p>
            <w:r/>
            <w:r>
              <w:rPr>
                <w:sz w:val="18"/>
              </w:rPr>
              <w:t>0.7546 ± 0.0485</w:t>
            </w:r>
          </w:p>
        </w:tc>
        <w:tc>
          <w:tcPr>
            <w:tcW w:type="dxa" w:w="2016"/>
          </w:tcPr>
          <w:p>
            <w:r/>
            <w:r>
              <w:rPr>
                <w:sz w:val="18"/>
              </w:rPr>
              <w:t>+0.0122 (within noise)</w:t>
            </w:r>
          </w:p>
        </w:tc>
      </w:tr>
      <w:tr>
        <w:tc>
          <w:tcPr>
            <w:tcW w:type="dxa" w:w="2304"/>
          </w:tcPr>
          <w:p>
            <w:r/>
            <w:r>
              <w:rPr>
                <w:sz w:val="18"/>
              </w:rPr>
              <w:t>Without local-pathology head</w:t>
            </w:r>
          </w:p>
        </w:tc>
        <w:tc>
          <w:tcPr>
            <w:tcW w:type="dxa" w:w="936"/>
          </w:tcPr>
          <w:p>
            <w:r/>
            <w:r>
              <w:rPr>
                <w:sz w:val="18"/>
              </w:rPr>
              <w:t>24.43 M</w:t>
            </w:r>
          </w:p>
        </w:tc>
        <w:tc>
          <w:tcPr>
            <w:tcW w:type="dxa" w:w="1800"/>
          </w:tcPr>
          <w:p>
            <w:r/>
            <w:r>
              <w:rPr>
                <w:sz w:val="18"/>
              </w:rPr>
              <w:t>0.8629 ± 0.0131</w:t>
            </w:r>
          </w:p>
        </w:tc>
        <w:tc>
          <w:tcPr>
            <w:tcW w:type="dxa" w:w="1872"/>
          </w:tcPr>
          <w:p>
            <w:r/>
            <w:r>
              <w:rPr>
                <w:sz w:val="18"/>
              </w:rPr>
              <w:t>0.5000 ± 0.0000</w:t>
            </w:r>
          </w:p>
        </w:tc>
        <w:tc>
          <w:tcPr>
            <w:tcW w:type="dxa" w:w="1728"/>
          </w:tcPr>
          <w:p>
            <w:r/>
            <w:r>
              <w:rPr>
                <w:sz w:val="18"/>
              </w:rPr>
              <w:t>0.8564 ± 0.0060</w:t>
            </w:r>
          </w:p>
        </w:tc>
        <w:tc>
          <w:tcPr>
            <w:tcW w:type="dxa" w:w="2016"/>
          </w:tcPr>
          <w:p>
            <w:r/>
            <w:r>
              <w:rPr>
                <w:sz w:val="18"/>
              </w:rPr>
              <w:t>+0.0022 (within noise)</w:t>
            </w:r>
          </w:p>
        </w:tc>
      </w:tr>
      <w:tr>
        <w:tc>
          <w:tcPr>
            <w:tcW w:type="dxa" w:w="2304"/>
          </w:tcPr>
          <w:p>
            <w:r/>
            <w:r>
              <w:rPr>
                <w:sz w:val="18"/>
              </w:rPr>
              <w:t>Without kidney segmentation</w:t>
            </w:r>
          </w:p>
        </w:tc>
        <w:tc>
          <w:tcPr>
            <w:tcW w:type="dxa" w:w="936"/>
          </w:tcPr>
          <w:p>
            <w:r/>
            <w:r>
              <w:rPr>
                <w:sz w:val="18"/>
              </w:rPr>
              <w:t>22.87 M</w:t>
            </w:r>
          </w:p>
        </w:tc>
        <w:tc>
          <w:tcPr>
            <w:tcW w:type="dxa" w:w="1800"/>
          </w:tcPr>
          <w:p>
            <w:r/>
            <w:r>
              <w:rPr>
                <w:sz w:val="18"/>
              </w:rPr>
              <w:t>0.8848 ± 0.0129</w:t>
            </w:r>
          </w:p>
        </w:tc>
        <w:tc>
          <w:tcPr>
            <w:tcW w:type="dxa" w:w="1872"/>
          </w:tcPr>
          <w:p>
            <w:r/>
            <w:r>
              <w:rPr>
                <w:sz w:val="18"/>
              </w:rPr>
              <w:t>0.7997 ± 0.0202</w:t>
            </w:r>
          </w:p>
        </w:tc>
        <w:tc>
          <w:tcPr>
            <w:tcW w:type="dxa" w:w="1728"/>
          </w:tcPr>
          <w:p>
            <w:r/>
            <w:r>
              <w:rPr>
                <w:sz w:val="18"/>
              </w:rPr>
              <w:t>0.0000 ± 0.0000</w:t>
            </w:r>
          </w:p>
        </w:tc>
        <w:tc>
          <w:tcPr>
            <w:tcW w:type="dxa" w:w="2016"/>
          </w:tcPr>
          <w:p>
            <w:r/>
            <w:r>
              <w:rPr>
                <w:sz w:val="18"/>
              </w:rPr>
              <w:t>+0.0241 (within noise)</w:t>
            </w:r>
          </w:p>
        </w:tc>
      </w:tr>
      <w:tr>
        <w:tc>
          <w:tcPr>
            <w:tcW w:type="dxa" w:w="2304"/>
          </w:tcPr>
          <w:p>
            <w:r/>
            <w:r>
              <w:rPr>
                <w:sz w:val="18"/>
              </w:rPr>
              <w:t>Classification heads only</w:t>
            </w:r>
          </w:p>
        </w:tc>
        <w:tc>
          <w:tcPr>
            <w:tcW w:type="dxa" w:w="936"/>
          </w:tcPr>
          <w:p>
            <w:r/>
            <w:r>
              <w:rPr>
                <w:sz w:val="18"/>
              </w:rPr>
              <w:t>21.29 M</w:t>
            </w:r>
          </w:p>
        </w:tc>
        <w:tc>
          <w:tcPr>
            <w:tcW w:type="dxa" w:w="1800"/>
          </w:tcPr>
          <w:p>
            <w:r/>
            <w:r>
              <w:rPr>
                <w:sz w:val="18"/>
              </w:rPr>
              <w:t>0.8649 ± 0.0051</w:t>
            </w:r>
          </w:p>
        </w:tc>
        <w:tc>
          <w:tcPr>
            <w:tcW w:type="dxa" w:w="1872"/>
          </w:tcPr>
          <w:p>
            <w:r/>
            <w:r>
              <w:rPr>
                <w:sz w:val="18"/>
              </w:rPr>
              <w:t>0.7906 ± 0.0110</w:t>
            </w:r>
          </w:p>
        </w:tc>
        <w:tc>
          <w:tcPr>
            <w:tcW w:type="dxa" w:w="1728"/>
          </w:tcPr>
          <w:p>
            <w:r/>
            <w:r>
              <w:rPr>
                <w:sz w:val="18"/>
              </w:rPr>
              <w:t>0.0000 ± 0.0000</w:t>
            </w:r>
          </w:p>
        </w:tc>
        <w:tc>
          <w:tcPr>
            <w:tcW w:type="dxa" w:w="2016"/>
          </w:tcPr>
          <w:p>
            <w:r/>
            <w:r>
              <w:rPr>
                <w:sz w:val="18"/>
              </w:rPr>
              <w:t>+0.0042 (within noise)</w:t>
            </w:r>
          </w:p>
        </w:tc>
      </w:tr>
    </w:tbl>
    <w:p>
      <w:pPr>
        <w:spacing w:after="160"/>
      </w:pPr>
      <w:r>
        <w:rPr>
          <w:i w:val="0"/>
          <w:color w:val="1A2233"/>
          <w:sz w:val="21"/>
        </w:rPr>
      </w:r>
    </w:p>
    <w:p>
      <w:pPr>
        <w:jc w:val="center"/>
      </w:pPr>
      <w:r>
        <w:drawing>
          <wp:inline xmlns:a="http://schemas.openxmlformats.org/drawingml/2006/main" xmlns:pic="http://schemas.openxmlformats.org/drawingml/2006/picture">
            <wp:extent cx="5669280" cy="2370790"/>
            <wp:docPr id="1" name="Picture 1"/>
            <wp:cNvGraphicFramePr>
              <a:graphicFrameLocks noChangeAspect="1"/>
            </wp:cNvGraphicFramePr>
            <a:graphic>
              <a:graphicData uri="http://schemas.openxmlformats.org/drawingml/2006/picture">
                <pic:pic>
                  <pic:nvPicPr>
                    <pic:cNvPr id="0" name="ablation_modules.png"/>
                    <pic:cNvPicPr/>
                  </pic:nvPicPr>
                  <pic:blipFill>
                    <a:blip r:embed="rId9"/>
                    <a:stretch>
                      <a:fillRect/>
                    </a:stretch>
                  </pic:blipFill>
                  <pic:spPr>
                    <a:xfrm>
                      <a:off x="0" y="0"/>
                      <a:ext cx="5669280" cy="2370790"/>
                    </a:xfrm>
                    <a:prstGeom prst="rect"/>
                  </pic:spPr>
                </pic:pic>
              </a:graphicData>
            </a:graphic>
          </wp:inline>
        </w:drawing>
      </w:r>
    </w:p>
    <w:p>
      <w:pPr>
        <w:jc w:val="center"/>
      </w:pPr>
      <w:r>
        <w:rPr>
          <w:i/>
          <w:color w:val="5B6B79"/>
          <w:sz w:val="18"/>
        </w:rPr>
        <w:t>Figure 1. Diagnosis AUC after removing each module. The shaded band is ±1 SD of seed-only variation around the full model; bars inside it are not distinguishable from the reference.</w:t>
      </w:r>
    </w:p>
    <w:p>
      <w:pPr>
        <w:pStyle w:val="Heading2"/>
      </w:pPr>
      <w:r>
        <w:t>2.1 What the ablation shows</w:t>
      </w:r>
    </w:p>
    <w:p>
      <w:pPr>
        <w:pStyle w:val="ListBullet"/>
        <w:spacing w:after="80"/>
      </w:pPr>
      <w:r>
        <w:rPr>
          <w:sz w:val="21"/>
        </w:rPr>
        <w:t>Removing lesion-guided pooling — multi-pathology AUC falls by 0.0428 (0.8105 to 0.7677).</w:t>
      </w:r>
    </w:p>
    <w:p>
      <w:pPr>
        <w:pStyle w:val="ListBullet"/>
        <w:spacing w:after="80"/>
      </w:pPr>
      <w:r>
        <w:rPr>
          <w:sz w:val="21"/>
        </w:rPr>
        <w:t>Removing lesion segmentation — multi-pathology AUC falls by 0.0282 (0.8105 to 0.7823).</w:t>
      </w:r>
    </w:p>
    <w:p>
      <w:pPr>
        <w:spacing w:after="160"/>
      </w:pPr>
      <w:r>
        <w:rPr>
          <w:i/>
          <w:color w:val="5B6B79"/>
          <w:sz w:val="21"/>
        </w:rPr>
        <w:t>Segmentation metrics behave differently from classification: removing a decoder necessarily drives its own Dice to zero, so those columns confirm the switch worked rather than measuring a trade-off.</w:t>
      </w:r>
    </w:p>
    <w:p>
      <w:r>
        <w:br w:type="page"/>
      </w:r>
    </w:p>
    <w:p>
      <w:pPr>
        <w:pStyle w:val="Heading1"/>
      </w:pPr>
      <w:r>
        <w:t>3. Encoder comparison</w:t>
      </w:r>
    </w:p>
    <w:p>
      <w:pPr>
        <w:spacing w:after="160"/>
      </w:pPr>
      <w:r>
        <w:rPr>
          <w:i w:val="0"/>
          <w:color w:val="1A2233"/>
          <w:sz w:val="21"/>
        </w:rPr>
        <w:t>The full model is retrained with each backbone. All four downsample by a factor of 32 and feed the same decoders and heads; only the channel width differs, which the architecture reads from the encoder rather than assuming.</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872"/>
          </w:tcPr>
          <w:p>
            <w:r/>
            <w:r>
              <w:rPr>
                <w:b/>
                <w:sz w:val="18"/>
              </w:rPr>
              <w:t>Encoder</w:t>
            </w:r>
          </w:p>
        </w:tc>
        <w:tc>
          <w:tcPr>
            <w:tcW w:type="dxa" w:w="1368"/>
          </w:tcPr>
          <w:p>
            <w:r/>
            <w:r>
              <w:rPr>
                <w:b/>
                <w:sz w:val="18"/>
              </w:rPr>
              <w:t>Encoder params</w:t>
            </w:r>
          </w:p>
        </w:tc>
        <w:tc>
          <w:tcPr>
            <w:tcW w:type="dxa" w:w="1224"/>
          </w:tcPr>
          <w:p>
            <w:r/>
            <w:r>
              <w:rPr>
                <w:b/>
                <w:sz w:val="18"/>
              </w:rPr>
              <w:t>Total params</w:t>
            </w:r>
          </w:p>
        </w:tc>
        <w:tc>
          <w:tcPr>
            <w:tcW w:type="dxa" w:w="1656"/>
          </w:tcPr>
          <w:p>
            <w:r/>
            <w:r>
              <w:rPr>
                <w:b/>
                <w:sz w:val="18"/>
              </w:rPr>
              <w:t>Diagnosis AUC</w:t>
            </w:r>
          </w:p>
        </w:tc>
        <w:tc>
          <w:tcPr>
            <w:tcW w:type="dxa" w:w="1728"/>
          </w:tcPr>
          <w:p>
            <w:r/>
            <w:r>
              <w:rPr>
                <w:b/>
                <w:sz w:val="18"/>
              </w:rPr>
              <w:t>Multi-pathology AUC</w:t>
            </w:r>
          </w:p>
        </w:tc>
        <w:tc>
          <w:tcPr>
            <w:tcW w:type="dxa" w:w="1512"/>
          </w:tcPr>
          <w:p>
            <w:r/>
            <w:r>
              <w:rPr>
                <w:b/>
                <w:sz w:val="18"/>
              </w:rPr>
              <w:t>Kidney Dice</w:t>
            </w:r>
          </w:p>
        </w:tc>
        <w:tc>
          <w:tcPr>
            <w:tcW w:type="dxa" w:w="1872"/>
          </w:tcPr>
          <w:p>
            <w:r/>
            <w:r>
              <w:rPr>
                <w:b/>
                <w:sz w:val="18"/>
              </w:rPr>
              <w:t>vs ResNet-34</w:t>
            </w:r>
          </w:p>
        </w:tc>
      </w:tr>
      <w:tr>
        <w:tc>
          <w:tcPr>
            <w:tcW w:type="dxa" w:w="1872"/>
          </w:tcPr>
          <w:p>
            <w:r/>
            <w:r>
              <w:rPr>
                <w:sz w:val="18"/>
              </w:rPr>
              <w:t>resnet34</w:t>
            </w:r>
          </w:p>
        </w:tc>
        <w:tc>
          <w:tcPr>
            <w:tcW w:type="dxa" w:w="1368"/>
          </w:tcPr>
          <w:p>
            <w:r/>
            <w:r>
              <w:rPr>
                <w:sz w:val="18"/>
              </w:rPr>
              <w:t>21.28 M</w:t>
            </w:r>
          </w:p>
        </w:tc>
        <w:tc>
          <w:tcPr>
            <w:tcW w:type="dxa" w:w="1224"/>
          </w:tcPr>
          <w:p>
            <w:r/>
            <w:r>
              <w:rPr>
                <w:sz w:val="18"/>
              </w:rPr>
              <w:t>24.44 M</w:t>
            </w:r>
          </w:p>
        </w:tc>
        <w:tc>
          <w:tcPr>
            <w:tcW w:type="dxa" w:w="1656"/>
          </w:tcPr>
          <w:p>
            <w:r/>
            <w:r>
              <w:rPr>
                <w:sz w:val="18"/>
              </w:rPr>
              <w:t>0.8607 ± 0.0399</w:t>
            </w:r>
          </w:p>
        </w:tc>
        <w:tc>
          <w:tcPr>
            <w:tcW w:type="dxa" w:w="1728"/>
          </w:tcPr>
          <w:p>
            <w:r/>
            <w:r>
              <w:rPr>
                <w:sz w:val="18"/>
              </w:rPr>
              <w:t>0.8105 ± 0.0037</w:t>
            </w:r>
          </w:p>
        </w:tc>
        <w:tc>
          <w:tcPr>
            <w:tcW w:type="dxa" w:w="1512"/>
          </w:tcPr>
          <w:p>
            <w:r/>
            <w:r>
              <w:rPr>
                <w:sz w:val="18"/>
              </w:rPr>
              <w:t>0.8116 ± 0.0384</w:t>
            </w:r>
          </w:p>
        </w:tc>
        <w:tc>
          <w:tcPr>
            <w:tcW w:type="dxa" w:w="1872"/>
          </w:tcPr>
          <w:p>
            <w:r/>
            <w:r>
              <w:rPr>
                <w:sz w:val="18"/>
              </w:rPr>
              <w:t>reference</w:t>
            </w:r>
          </w:p>
        </w:tc>
      </w:tr>
      <w:tr>
        <w:tc>
          <w:tcPr>
            <w:tcW w:type="dxa" w:w="1872"/>
          </w:tcPr>
          <w:p>
            <w:r/>
            <w:r>
              <w:rPr>
                <w:sz w:val="18"/>
              </w:rPr>
              <w:t>efficientnet_b0</w:t>
            </w:r>
          </w:p>
        </w:tc>
        <w:tc>
          <w:tcPr>
            <w:tcW w:type="dxa" w:w="1368"/>
          </w:tcPr>
          <w:p>
            <w:r/>
            <w:r>
              <w:rPr>
                <w:sz w:val="18"/>
              </w:rPr>
              <w:t>4.01 M</w:t>
            </w:r>
          </w:p>
        </w:tc>
        <w:tc>
          <w:tcPr>
            <w:tcW w:type="dxa" w:w="1224"/>
          </w:tcPr>
          <w:p>
            <w:r/>
            <w:r>
              <w:rPr>
                <w:sz w:val="18"/>
              </w:rPr>
              <w:t>10.72 M</w:t>
            </w:r>
          </w:p>
        </w:tc>
        <w:tc>
          <w:tcPr>
            <w:tcW w:type="dxa" w:w="1656"/>
          </w:tcPr>
          <w:p>
            <w:r/>
            <w:r>
              <w:rPr>
                <w:sz w:val="18"/>
              </w:rPr>
              <w:t>0.8569 ± 0.0136</w:t>
            </w:r>
          </w:p>
        </w:tc>
        <w:tc>
          <w:tcPr>
            <w:tcW w:type="dxa" w:w="1728"/>
          </w:tcPr>
          <w:p>
            <w:r/>
            <w:r>
              <w:rPr>
                <w:sz w:val="18"/>
              </w:rPr>
              <w:t>0.7576 ± 0.0366</w:t>
            </w:r>
          </w:p>
        </w:tc>
        <w:tc>
          <w:tcPr>
            <w:tcW w:type="dxa" w:w="1512"/>
          </w:tcPr>
          <w:p>
            <w:r/>
            <w:r>
              <w:rPr>
                <w:sz w:val="18"/>
              </w:rPr>
              <w:t>0.8017 ± 0.0124</w:t>
            </w:r>
          </w:p>
        </w:tc>
        <w:tc>
          <w:tcPr>
            <w:tcW w:type="dxa" w:w="1872"/>
          </w:tcPr>
          <w:p>
            <w:r/>
            <w:r>
              <w:rPr>
                <w:sz w:val="18"/>
              </w:rPr>
              <w:t>-0.0038 (within noise)</w:t>
            </w:r>
          </w:p>
        </w:tc>
      </w:tr>
      <w:tr>
        <w:tc>
          <w:tcPr>
            <w:tcW w:type="dxa" w:w="1872"/>
          </w:tcPr>
          <w:p>
            <w:r/>
            <w:r>
              <w:rPr>
                <w:sz w:val="18"/>
              </w:rPr>
              <w:t>mobilenet_v3_large</w:t>
            </w:r>
          </w:p>
        </w:tc>
        <w:tc>
          <w:tcPr>
            <w:tcW w:type="dxa" w:w="1368"/>
          </w:tcPr>
          <w:p>
            <w:r/>
            <w:r>
              <w:rPr>
                <w:sz w:val="18"/>
              </w:rPr>
              <w:t>2.97 M</w:t>
            </w:r>
          </w:p>
        </w:tc>
        <w:tc>
          <w:tcPr>
            <w:tcW w:type="dxa" w:w="1224"/>
          </w:tcPr>
          <w:p>
            <w:r/>
            <w:r>
              <w:rPr>
                <w:sz w:val="18"/>
              </w:rPr>
              <w:t>8.20 M</w:t>
            </w:r>
          </w:p>
        </w:tc>
        <w:tc>
          <w:tcPr>
            <w:tcW w:type="dxa" w:w="1656"/>
          </w:tcPr>
          <w:p>
            <w:r/>
            <w:r>
              <w:rPr>
                <w:sz w:val="18"/>
              </w:rPr>
              <w:t>0.8248 ± 0.0232</w:t>
            </w:r>
          </w:p>
        </w:tc>
        <w:tc>
          <w:tcPr>
            <w:tcW w:type="dxa" w:w="1728"/>
          </w:tcPr>
          <w:p>
            <w:r/>
            <w:r>
              <w:rPr>
                <w:sz w:val="18"/>
              </w:rPr>
              <w:t>0.7211 ± 0.0170</w:t>
            </w:r>
          </w:p>
        </w:tc>
        <w:tc>
          <w:tcPr>
            <w:tcW w:type="dxa" w:w="1512"/>
          </w:tcPr>
          <w:p>
            <w:r/>
            <w:r>
              <w:rPr>
                <w:sz w:val="18"/>
              </w:rPr>
              <w:t>0.8063 ± 0.0115</w:t>
            </w:r>
          </w:p>
        </w:tc>
        <w:tc>
          <w:tcPr>
            <w:tcW w:type="dxa" w:w="1872"/>
          </w:tcPr>
          <w:p>
            <w:r/>
            <w:r>
              <w:rPr>
                <w:sz w:val="18"/>
              </w:rPr>
              <w:t>-0.0359 (lower)</w:t>
            </w:r>
          </w:p>
        </w:tc>
      </w:tr>
      <w:tr>
        <w:tc>
          <w:tcPr>
            <w:tcW w:type="dxa" w:w="1872"/>
          </w:tcPr>
          <w:p>
            <w:r/>
            <w:r>
              <w:rPr>
                <w:sz w:val="18"/>
              </w:rPr>
              <w:t>shufflenet_v2_x1_0</w:t>
            </w:r>
          </w:p>
        </w:tc>
        <w:tc>
          <w:tcPr>
            <w:tcW w:type="dxa" w:w="1368"/>
          </w:tcPr>
          <w:p>
            <w:r/>
            <w:r>
              <w:rPr>
                <w:sz w:val="18"/>
              </w:rPr>
              <w:t>1.25 M</w:t>
            </w:r>
          </w:p>
        </w:tc>
        <w:tc>
          <w:tcPr>
            <w:tcW w:type="dxa" w:w="1224"/>
          </w:tcPr>
          <w:p>
            <w:r/>
            <w:r>
              <w:rPr>
                <w:sz w:val="18"/>
              </w:rPr>
              <w:t>6.78 M</w:t>
            </w:r>
          </w:p>
        </w:tc>
        <w:tc>
          <w:tcPr>
            <w:tcW w:type="dxa" w:w="1656"/>
          </w:tcPr>
          <w:p>
            <w:r/>
            <w:r>
              <w:rPr>
                <w:sz w:val="18"/>
              </w:rPr>
              <w:t>0.8321 ± 0.0049</w:t>
            </w:r>
          </w:p>
        </w:tc>
        <w:tc>
          <w:tcPr>
            <w:tcW w:type="dxa" w:w="1728"/>
          </w:tcPr>
          <w:p>
            <w:r/>
            <w:r>
              <w:rPr>
                <w:sz w:val="18"/>
              </w:rPr>
              <w:t>0.7169 ± 0.0181</w:t>
            </w:r>
          </w:p>
        </w:tc>
        <w:tc>
          <w:tcPr>
            <w:tcW w:type="dxa" w:w="1512"/>
          </w:tcPr>
          <w:p>
            <w:r/>
            <w:r>
              <w:rPr>
                <w:sz w:val="18"/>
              </w:rPr>
              <w:t>0.8136 ± 0.0217</w:t>
            </w:r>
          </w:p>
        </w:tc>
        <w:tc>
          <w:tcPr>
            <w:tcW w:type="dxa" w:w="1872"/>
          </w:tcPr>
          <w:p>
            <w:r/>
            <w:r>
              <w:rPr>
                <w:sz w:val="18"/>
              </w:rPr>
              <w:t>-0.0286 (lower)</w:t>
            </w:r>
          </w:p>
        </w:tc>
      </w:tr>
    </w:tbl>
    <w:p>
      <w:pPr>
        <w:spacing w:after="160"/>
      </w:pPr>
      <w:r>
        <w:rPr>
          <w:i w:val="0"/>
          <w:color w:val="1A2233"/>
          <w:sz w:val="21"/>
        </w:rPr>
      </w:r>
    </w:p>
    <w:p>
      <w:pPr>
        <w:jc w:val="center"/>
      </w:pPr>
      <w:r>
        <w:drawing>
          <wp:inline xmlns:a="http://schemas.openxmlformats.org/drawingml/2006/main" xmlns:pic="http://schemas.openxmlformats.org/drawingml/2006/picture">
            <wp:extent cx="5669280" cy="2086295"/>
            <wp:docPr id="2" name="Picture 2"/>
            <wp:cNvGraphicFramePr>
              <a:graphicFrameLocks noChangeAspect="1"/>
            </wp:cNvGraphicFramePr>
            <a:graphic>
              <a:graphicData uri="http://schemas.openxmlformats.org/drawingml/2006/picture">
                <pic:pic>
                  <pic:nvPicPr>
                    <pic:cNvPr id="0" name="ablation_encoders.png"/>
                    <pic:cNvPicPr/>
                  </pic:nvPicPr>
                  <pic:blipFill>
                    <a:blip r:embed="rId10"/>
                    <a:stretch>
                      <a:fillRect/>
                    </a:stretch>
                  </pic:blipFill>
                  <pic:spPr>
                    <a:xfrm>
                      <a:off x="0" y="0"/>
                      <a:ext cx="5669280" cy="2086295"/>
                    </a:xfrm>
                    <a:prstGeom prst="rect"/>
                  </pic:spPr>
                </pic:pic>
              </a:graphicData>
            </a:graphic>
          </wp:inline>
        </w:drawing>
      </w:r>
    </w:p>
    <w:p>
      <w:pPr>
        <w:jc w:val="center"/>
      </w:pPr>
      <w:r>
        <w:rPr>
          <w:i/>
          <w:color w:val="5B6B79"/>
          <w:sz w:val="18"/>
        </w:rPr>
        <w:t>Figure 2. Accuracy by encoder, and accuracy against model size. Error bars are standard deviation over seeds.</w:t>
      </w:r>
    </w:p>
    <w:p>
      <w:pPr>
        <w:pStyle w:val="Heading2"/>
      </w:pPr>
      <w:r>
        <w:t>3.1 Accuracy against size</w:t>
      </w:r>
    </w:p>
    <w:p>
      <w:pPr>
        <w:pStyle w:val="ListBullet"/>
        <w:spacing w:after="80"/>
      </w:pPr>
      <w:r>
        <w:rPr>
          <w:b/>
          <w:sz w:val="21"/>
        </w:rPr>
        <w:t xml:space="preserve">Binary diagnosis survives a much smaller backbone. </w:t>
      </w:r>
      <w:r>
        <w:rPr>
          <w:sz w:val="21"/>
        </w:rPr>
        <w:t>efficientnet_b0 reaches 0.8569 ± 0.0136 against ResNet-34's 0.8607 ± 0.0399, a difference within the noise band, using 10.72 M parameters instead of 24.44 M (2.3x smaller).</w:t>
      </w:r>
    </w:p>
    <w:p>
      <w:pPr>
        <w:pStyle w:val="ListBullet"/>
        <w:spacing w:after="80"/>
      </w:pPr>
      <w:r>
        <w:rPr>
          <w:b/>
          <w:sz w:val="21"/>
        </w:rPr>
        <w:t xml:space="preserve">Multi-pathology does not survive. </w:t>
      </w:r>
      <w:r>
        <w:rPr>
          <w:sz w:val="21"/>
        </w:rPr>
        <w:t>Every lighter backbone loses multi-pathology AUC relative to ResNet-34 (efficientnet_b0 -0.0529, mobilenet_v3_large -0.0894, shufflenet_v2_x1_0 -0.0935). The nine-way pathology task appears to need the larger backbone's capacity even where binary diagnosis does not, which is consistent with it being the harder task and the one where this project already trails the benchmark.</w:t>
      </w:r>
    </w:p>
    <w:p>
      <w:pPr>
        <w:pStyle w:val="ListBullet"/>
        <w:spacing w:after="80"/>
      </w:pPr>
      <w:r>
        <w:rPr>
          <w:b/>
          <w:sz w:val="21"/>
        </w:rPr>
        <w:t xml:space="preserve">Smallest model. </w:t>
      </w:r>
      <w:r>
        <w:rPr>
          <w:sz w:val="21"/>
        </w:rPr>
        <w:t>shufflenet_v2_x1_0 at 6.78 M parameters, 3.6x smaller than ResNet-34, reaching 0.8321 ± 0.0049 (lower than the reference).</w:t>
      </w:r>
    </w:p>
    <w:p>
      <w:pPr>
        <w:pStyle w:val="ListBullet"/>
        <w:spacing w:after="80"/>
      </w:pPr>
      <w:r>
        <w:rPr>
          <w:b/>
          <w:sz w:val="21"/>
        </w:rPr>
        <w:t xml:space="preserve">Caveat. </w:t>
      </w:r>
      <w:r>
        <w:rPr>
          <w:sz w:val="21"/>
        </w:rPr>
        <w:t>Parameter count is not latency. These encoders differ in how efficiently they use hardware, and depthwise-separable backbones often run slower per parameter than their size suggests. A timing measurement is still needed before a deployment claim is complete.</w:t>
      </w:r>
    </w:p>
    <w:p>
      <w:pPr>
        <w:pStyle w:val="Heading1"/>
      </w:pPr>
      <w:r>
        <w:t>4. All configurations, all metrics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232"/>
          </w:tcPr>
          <w:p>
            <w:r/>
            <w:r>
              <w:rPr>
                <w:b/>
                <w:sz w:val="18"/>
              </w:rPr>
              <w:t>Configuration</w:t>
            </w:r>
          </w:p>
        </w:tc>
        <w:tc>
          <w:tcPr>
            <w:tcW w:type="dxa" w:w="1656"/>
          </w:tcPr>
          <w:p>
            <w:r/>
            <w:r>
              <w:rPr>
                <w:b/>
                <w:sz w:val="18"/>
              </w:rPr>
              <w:t>Diagnosis AUC</w:t>
            </w:r>
          </w:p>
        </w:tc>
        <w:tc>
          <w:tcPr>
            <w:tcW w:type="dxa" w:w="1728"/>
          </w:tcPr>
          <w:p>
            <w:r/>
            <w:r>
              <w:rPr>
                <w:b/>
                <w:sz w:val="18"/>
              </w:rPr>
              <w:t>Multi-pathology AUC</w:t>
            </w:r>
          </w:p>
        </w:tc>
        <w:tc>
          <w:tcPr>
            <w:tcW w:type="dxa" w:w="1584"/>
          </w:tcPr>
          <w:p>
            <w:r/>
            <w:r>
              <w:rPr>
                <w:b/>
                <w:sz w:val="18"/>
              </w:rPr>
              <w:t>Kidney Dice</w:t>
            </w:r>
          </w:p>
        </w:tc>
        <w:tc>
          <w:tcPr>
            <w:tcW w:type="dxa" w:w="1800"/>
          </w:tcPr>
          <w:p>
            <w:r/>
            <w:r>
              <w:rPr>
                <w:b/>
                <w:sz w:val="18"/>
              </w:rPr>
              <w:t>Lesion Dice (lesion-bearing)</w:t>
            </w:r>
          </w:p>
        </w:tc>
        <w:tc>
          <w:tcPr>
            <w:tcW w:type="dxa" w:w="1584"/>
          </w:tcPr>
          <w:p>
            <w:r/>
            <w:r>
              <w:rPr>
                <w:b/>
                <w:sz w:val="18"/>
              </w:rPr>
              <w:t>Balanced accuracy</w:t>
            </w:r>
          </w:p>
        </w:tc>
      </w:tr>
      <w:tr>
        <w:tc>
          <w:tcPr>
            <w:tcW w:type="dxa" w:w="2232"/>
          </w:tcPr>
          <w:p>
            <w:r/>
            <w:r>
              <w:rPr>
                <w:sz w:val="18"/>
              </w:rPr>
              <w:t>Full model (reference)</w:t>
            </w:r>
          </w:p>
        </w:tc>
        <w:tc>
          <w:tcPr>
            <w:tcW w:type="dxa" w:w="1656"/>
          </w:tcPr>
          <w:p>
            <w:r/>
            <w:r>
              <w:rPr>
                <w:sz w:val="18"/>
              </w:rPr>
              <w:t>0.8607 ± 0.0399</w:t>
            </w:r>
          </w:p>
        </w:tc>
        <w:tc>
          <w:tcPr>
            <w:tcW w:type="dxa" w:w="1728"/>
          </w:tcPr>
          <w:p>
            <w:r/>
            <w:r>
              <w:rPr>
                <w:sz w:val="18"/>
              </w:rPr>
              <w:t>0.8105 ± 0.0037</w:t>
            </w:r>
          </w:p>
        </w:tc>
        <w:tc>
          <w:tcPr>
            <w:tcW w:type="dxa" w:w="1584"/>
          </w:tcPr>
          <w:p>
            <w:r/>
            <w:r>
              <w:rPr>
                <w:sz w:val="18"/>
              </w:rPr>
              <w:t>0.8116 ± 0.0384</w:t>
            </w:r>
          </w:p>
        </w:tc>
        <w:tc>
          <w:tcPr>
            <w:tcW w:type="dxa" w:w="1800"/>
          </w:tcPr>
          <w:p>
            <w:r/>
            <w:r>
              <w:rPr>
                <w:sz w:val="18"/>
              </w:rPr>
              <w:t>0.3674 ± 0.0183</w:t>
            </w:r>
          </w:p>
        </w:tc>
        <w:tc>
          <w:tcPr>
            <w:tcW w:type="dxa" w:w="1584"/>
          </w:tcPr>
          <w:p>
            <w:r/>
            <w:r>
              <w:rPr>
                <w:sz w:val="18"/>
              </w:rPr>
              <w:t>0.7744 ± 0.0503</w:t>
            </w:r>
          </w:p>
        </w:tc>
      </w:tr>
      <w:tr>
        <w:tc>
          <w:tcPr>
            <w:tcW w:type="dxa" w:w="2232"/>
          </w:tcPr>
          <w:p>
            <w:r/>
            <w:r>
              <w:rPr>
                <w:sz w:val="18"/>
              </w:rPr>
              <w:t>Without lesion-guided pooling</w:t>
            </w:r>
          </w:p>
        </w:tc>
        <w:tc>
          <w:tcPr>
            <w:tcW w:type="dxa" w:w="1656"/>
          </w:tcPr>
          <w:p>
            <w:r/>
            <w:r>
              <w:rPr>
                <w:sz w:val="18"/>
              </w:rPr>
              <w:t>0.8813 ± 0.0080</w:t>
            </w:r>
          </w:p>
        </w:tc>
        <w:tc>
          <w:tcPr>
            <w:tcW w:type="dxa" w:w="1728"/>
          </w:tcPr>
          <w:p>
            <w:r/>
            <w:r>
              <w:rPr>
                <w:sz w:val="18"/>
              </w:rPr>
              <w:t>0.7677 ± 0.0211</w:t>
            </w:r>
          </w:p>
        </w:tc>
        <w:tc>
          <w:tcPr>
            <w:tcW w:type="dxa" w:w="1584"/>
          </w:tcPr>
          <w:p>
            <w:r/>
            <w:r>
              <w:rPr>
                <w:sz w:val="18"/>
              </w:rPr>
              <w:t>0.7621 ± 0.0395</w:t>
            </w:r>
          </w:p>
        </w:tc>
        <w:tc>
          <w:tcPr>
            <w:tcW w:type="dxa" w:w="1800"/>
          </w:tcPr>
          <w:p>
            <w:r/>
            <w:r>
              <w:rPr>
                <w:sz w:val="18"/>
              </w:rPr>
              <w:t>0.3570 ± 0.0494</w:t>
            </w:r>
          </w:p>
        </w:tc>
        <w:tc>
          <w:tcPr>
            <w:tcW w:type="dxa" w:w="1584"/>
          </w:tcPr>
          <w:p>
            <w:r/>
            <w:r>
              <w:rPr>
                <w:sz w:val="18"/>
              </w:rPr>
              <w:t>0.7639 ± 0.0333</w:t>
            </w:r>
          </w:p>
        </w:tc>
      </w:tr>
      <w:tr>
        <w:tc>
          <w:tcPr>
            <w:tcW w:type="dxa" w:w="2232"/>
          </w:tcPr>
          <w:p>
            <w:r/>
            <w:r>
              <w:rPr>
                <w:sz w:val="18"/>
              </w:rPr>
              <w:t>Without anatomical consistency</w:t>
            </w:r>
          </w:p>
        </w:tc>
        <w:tc>
          <w:tcPr>
            <w:tcW w:type="dxa" w:w="1656"/>
          </w:tcPr>
          <w:p>
            <w:r/>
            <w:r>
              <w:rPr>
                <w:sz w:val="18"/>
              </w:rPr>
              <w:t>0.8825 ± 0.0143</w:t>
            </w:r>
          </w:p>
        </w:tc>
        <w:tc>
          <w:tcPr>
            <w:tcW w:type="dxa" w:w="1728"/>
          </w:tcPr>
          <w:p>
            <w:r/>
            <w:r>
              <w:rPr>
                <w:sz w:val="18"/>
              </w:rPr>
              <w:t>0.7903 ± 0.0311</w:t>
            </w:r>
          </w:p>
        </w:tc>
        <w:tc>
          <w:tcPr>
            <w:tcW w:type="dxa" w:w="1584"/>
          </w:tcPr>
          <w:p>
            <w:r/>
            <w:r>
              <w:rPr>
                <w:sz w:val="18"/>
              </w:rPr>
              <w:t>0.8048 ± 0.0096</w:t>
            </w:r>
          </w:p>
        </w:tc>
        <w:tc>
          <w:tcPr>
            <w:tcW w:type="dxa" w:w="1800"/>
          </w:tcPr>
          <w:p>
            <w:r/>
            <w:r>
              <w:rPr>
                <w:sz w:val="18"/>
              </w:rPr>
              <w:t>0.3894 ± 0.0089</w:t>
            </w:r>
          </w:p>
        </w:tc>
        <w:tc>
          <w:tcPr>
            <w:tcW w:type="dxa" w:w="1584"/>
          </w:tcPr>
          <w:p>
            <w:r/>
            <w:r>
              <w:rPr>
                <w:sz w:val="18"/>
              </w:rPr>
              <w:t>0.7815 ± 0.0277</w:t>
            </w:r>
          </w:p>
        </w:tc>
      </w:tr>
      <w:tr>
        <w:tc>
          <w:tcPr>
            <w:tcW w:type="dxa" w:w="2232"/>
          </w:tcPr>
          <w:p>
            <w:r/>
            <w:r>
              <w:rPr>
                <w:sz w:val="18"/>
              </w:rPr>
              <w:t>Without lesion segmentation</w:t>
            </w:r>
          </w:p>
        </w:tc>
        <w:tc>
          <w:tcPr>
            <w:tcW w:type="dxa" w:w="1656"/>
          </w:tcPr>
          <w:p>
            <w:r/>
            <w:r>
              <w:rPr>
                <w:sz w:val="18"/>
              </w:rPr>
              <w:t>0.8728 ± 0.0270</w:t>
            </w:r>
          </w:p>
        </w:tc>
        <w:tc>
          <w:tcPr>
            <w:tcW w:type="dxa" w:w="1728"/>
          </w:tcPr>
          <w:p>
            <w:r/>
            <w:r>
              <w:rPr>
                <w:sz w:val="18"/>
              </w:rPr>
              <w:t>0.7823 ± 0.0206</w:t>
            </w:r>
          </w:p>
        </w:tc>
        <w:tc>
          <w:tcPr>
            <w:tcW w:type="dxa" w:w="1584"/>
          </w:tcPr>
          <w:p>
            <w:r/>
            <w:r>
              <w:rPr>
                <w:sz w:val="18"/>
              </w:rPr>
              <w:t>0.7546 ± 0.0485</w:t>
            </w:r>
          </w:p>
        </w:tc>
        <w:tc>
          <w:tcPr>
            <w:tcW w:type="dxa" w:w="1800"/>
          </w:tcPr>
          <w:p>
            <w:r/>
            <w:r>
              <w:rPr>
                <w:sz w:val="18"/>
              </w:rPr>
              <w:t>0.0000 ± 0.0000</w:t>
            </w:r>
          </w:p>
        </w:tc>
        <w:tc>
          <w:tcPr>
            <w:tcW w:type="dxa" w:w="1584"/>
          </w:tcPr>
          <w:p>
            <w:r/>
            <w:r>
              <w:rPr>
                <w:sz w:val="18"/>
              </w:rPr>
              <w:t>0.7991 ± 0.0287</w:t>
            </w:r>
          </w:p>
        </w:tc>
      </w:tr>
      <w:tr>
        <w:tc>
          <w:tcPr>
            <w:tcW w:type="dxa" w:w="2232"/>
          </w:tcPr>
          <w:p>
            <w:r/>
            <w:r>
              <w:rPr>
                <w:sz w:val="18"/>
              </w:rPr>
              <w:t>Without local-pathology head</w:t>
            </w:r>
          </w:p>
        </w:tc>
        <w:tc>
          <w:tcPr>
            <w:tcW w:type="dxa" w:w="1656"/>
          </w:tcPr>
          <w:p>
            <w:r/>
            <w:r>
              <w:rPr>
                <w:sz w:val="18"/>
              </w:rPr>
              <w:t>0.8629 ± 0.0131</w:t>
            </w:r>
          </w:p>
        </w:tc>
        <w:tc>
          <w:tcPr>
            <w:tcW w:type="dxa" w:w="1728"/>
          </w:tcPr>
          <w:p>
            <w:r/>
            <w:r>
              <w:rPr>
                <w:sz w:val="18"/>
              </w:rPr>
              <w:t>0.5000 ± 0.0000</w:t>
            </w:r>
          </w:p>
        </w:tc>
        <w:tc>
          <w:tcPr>
            <w:tcW w:type="dxa" w:w="1584"/>
          </w:tcPr>
          <w:p>
            <w:r/>
            <w:r>
              <w:rPr>
                <w:sz w:val="18"/>
              </w:rPr>
              <w:t>0.8564 ± 0.0060</w:t>
            </w:r>
          </w:p>
        </w:tc>
        <w:tc>
          <w:tcPr>
            <w:tcW w:type="dxa" w:w="1800"/>
          </w:tcPr>
          <w:p>
            <w:r/>
            <w:r>
              <w:rPr>
                <w:sz w:val="18"/>
              </w:rPr>
              <w:t>0.3651 ± 0.0127</w:t>
            </w:r>
          </w:p>
        </w:tc>
        <w:tc>
          <w:tcPr>
            <w:tcW w:type="dxa" w:w="1584"/>
          </w:tcPr>
          <w:p>
            <w:r/>
            <w:r>
              <w:rPr>
                <w:sz w:val="18"/>
              </w:rPr>
              <w:t>0.7819 ± 0.0183</w:t>
            </w:r>
          </w:p>
        </w:tc>
      </w:tr>
      <w:tr>
        <w:tc>
          <w:tcPr>
            <w:tcW w:type="dxa" w:w="2232"/>
          </w:tcPr>
          <w:p>
            <w:r/>
            <w:r>
              <w:rPr>
                <w:sz w:val="18"/>
              </w:rPr>
              <w:t>Without kidney segmentation</w:t>
            </w:r>
          </w:p>
        </w:tc>
        <w:tc>
          <w:tcPr>
            <w:tcW w:type="dxa" w:w="1656"/>
          </w:tcPr>
          <w:p>
            <w:r/>
            <w:r>
              <w:rPr>
                <w:sz w:val="18"/>
              </w:rPr>
              <w:t>0.8848 ± 0.0129</w:t>
            </w:r>
          </w:p>
        </w:tc>
        <w:tc>
          <w:tcPr>
            <w:tcW w:type="dxa" w:w="1728"/>
          </w:tcPr>
          <w:p>
            <w:r/>
            <w:r>
              <w:rPr>
                <w:sz w:val="18"/>
              </w:rPr>
              <w:t>0.7997 ± 0.0202</w:t>
            </w:r>
          </w:p>
        </w:tc>
        <w:tc>
          <w:tcPr>
            <w:tcW w:type="dxa" w:w="1584"/>
          </w:tcPr>
          <w:p>
            <w:r/>
            <w:r>
              <w:rPr>
                <w:sz w:val="18"/>
              </w:rPr>
              <w:t>0.0000 ± 0.0000</w:t>
            </w:r>
          </w:p>
        </w:tc>
        <w:tc>
          <w:tcPr>
            <w:tcW w:type="dxa" w:w="1800"/>
          </w:tcPr>
          <w:p>
            <w:r/>
            <w:r>
              <w:rPr>
                <w:sz w:val="18"/>
              </w:rPr>
              <w:t>0.3520 ± 0.0360</w:t>
            </w:r>
          </w:p>
        </w:tc>
        <w:tc>
          <w:tcPr>
            <w:tcW w:type="dxa" w:w="1584"/>
          </w:tcPr>
          <w:p>
            <w:r/>
            <w:r>
              <w:rPr>
                <w:sz w:val="18"/>
              </w:rPr>
              <w:t>0.7757 ± 0.0191</w:t>
            </w:r>
          </w:p>
        </w:tc>
      </w:tr>
      <w:tr>
        <w:tc>
          <w:tcPr>
            <w:tcW w:type="dxa" w:w="2232"/>
          </w:tcPr>
          <w:p>
            <w:r/>
            <w:r>
              <w:rPr>
                <w:sz w:val="18"/>
              </w:rPr>
              <w:t>Classification heads only</w:t>
            </w:r>
          </w:p>
        </w:tc>
        <w:tc>
          <w:tcPr>
            <w:tcW w:type="dxa" w:w="1656"/>
          </w:tcPr>
          <w:p>
            <w:r/>
            <w:r>
              <w:rPr>
                <w:sz w:val="18"/>
              </w:rPr>
              <w:t>0.8649 ± 0.0051</w:t>
            </w:r>
          </w:p>
        </w:tc>
        <w:tc>
          <w:tcPr>
            <w:tcW w:type="dxa" w:w="1728"/>
          </w:tcPr>
          <w:p>
            <w:r/>
            <w:r>
              <w:rPr>
                <w:sz w:val="18"/>
              </w:rPr>
              <w:t>0.7906 ± 0.0110</w:t>
            </w:r>
          </w:p>
        </w:tc>
        <w:tc>
          <w:tcPr>
            <w:tcW w:type="dxa" w:w="1584"/>
          </w:tcPr>
          <w:p>
            <w:r/>
            <w:r>
              <w:rPr>
                <w:sz w:val="18"/>
              </w:rPr>
              <w:t>0.0000 ± 0.0000</w:t>
            </w:r>
          </w:p>
        </w:tc>
        <w:tc>
          <w:tcPr>
            <w:tcW w:type="dxa" w:w="1800"/>
          </w:tcPr>
          <w:p>
            <w:r/>
            <w:r>
              <w:rPr>
                <w:sz w:val="18"/>
              </w:rPr>
              <w:t>0.0000 ± 0.0000</w:t>
            </w:r>
          </w:p>
        </w:tc>
        <w:tc>
          <w:tcPr>
            <w:tcW w:type="dxa" w:w="1584"/>
          </w:tcPr>
          <w:p>
            <w:r/>
            <w:r>
              <w:rPr>
                <w:sz w:val="18"/>
              </w:rPr>
              <w:t>0.7856 ± 0.0054</w:t>
            </w:r>
          </w:p>
        </w:tc>
      </w:tr>
      <w:tr>
        <w:tc>
          <w:tcPr>
            <w:tcW w:type="dxa" w:w="2232"/>
          </w:tcPr>
          <w:p>
            <w:r/>
            <w:r>
              <w:rPr>
                <w:sz w:val="18"/>
              </w:rPr>
              <w:t>efficientnet_b0</w:t>
            </w:r>
          </w:p>
        </w:tc>
        <w:tc>
          <w:tcPr>
            <w:tcW w:type="dxa" w:w="1656"/>
          </w:tcPr>
          <w:p>
            <w:r/>
            <w:r>
              <w:rPr>
                <w:sz w:val="18"/>
              </w:rPr>
              <w:t>0.8569 ± 0.0136</w:t>
            </w:r>
          </w:p>
        </w:tc>
        <w:tc>
          <w:tcPr>
            <w:tcW w:type="dxa" w:w="1728"/>
          </w:tcPr>
          <w:p>
            <w:r/>
            <w:r>
              <w:rPr>
                <w:sz w:val="18"/>
              </w:rPr>
              <w:t>0.7576 ± 0.0366</w:t>
            </w:r>
          </w:p>
        </w:tc>
        <w:tc>
          <w:tcPr>
            <w:tcW w:type="dxa" w:w="1584"/>
          </w:tcPr>
          <w:p>
            <w:r/>
            <w:r>
              <w:rPr>
                <w:sz w:val="18"/>
              </w:rPr>
              <w:t>0.8017 ± 0.0124</w:t>
            </w:r>
          </w:p>
        </w:tc>
        <w:tc>
          <w:tcPr>
            <w:tcW w:type="dxa" w:w="1800"/>
          </w:tcPr>
          <w:p>
            <w:r/>
            <w:r>
              <w:rPr>
                <w:sz w:val="18"/>
              </w:rPr>
              <w:t>0.3736 ± 0.0112</w:t>
            </w:r>
          </w:p>
        </w:tc>
        <w:tc>
          <w:tcPr>
            <w:tcW w:type="dxa" w:w="1584"/>
          </w:tcPr>
          <w:p>
            <w:r/>
            <w:r>
              <w:rPr>
                <w:sz w:val="18"/>
              </w:rPr>
              <w:t>0.7868 ± 0.0307</w:t>
            </w:r>
          </w:p>
        </w:tc>
      </w:tr>
      <w:tr>
        <w:tc>
          <w:tcPr>
            <w:tcW w:type="dxa" w:w="2232"/>
          </w:tcPr>
          <w:p>
            <w:r/>
            <w:r>
              <w:rPr>
                <w:sz w:val="18"/>
              </w:rPr>
              <w:t>mobilenet_v3_large</w:t>
            </w:r>
          </w:p>
        </w:tc>
        <w:tc>
          <w:tcPr>
            <w:tcW w:type="dxa" w:w="1656"/>
          </w:tcPr>
          <w:p>
            <w:r/>
            <w:r>
              <w:rPr>
                <w:sz w:val="18"/>
              </w:rPr>
              <w:t>0.8248 ± 0.0232</w:t>
            </w:r>
          </w:p>
        </w:tc>
        <w:tc>
          <w:tcPr>
            <w:tcW w:type="dxa" w:w="1728"/>
          </w:tcPr>
          <w:p>
            <w:r/>
            <w:r>
              <w:rPr>
                <w:sz w:val="18"/>
              </w:rPr>
              <w:t>0.7211 ± 0.0170</w:t>
            </w:r>
          </w:p>
        </w:tc>
        <w:tc>
          <w:tcPr>
            <w:tcW w:type="dxa" w:w="1584"/>
          </w:tcPr>
          <w:p>
            <w:r/>
            <w:r>
              <w:rPr>
                <w:sz w:val="18"/>
              </w:rPr>
              <w:t>0.8063 ± 0.0115</w:t>
            </w:r>
          </w:p>
        </w:tc>
        <w:tc>
          <w:tcPr>
            <w:tcW w:type="dxa" w:w="1800"/>
          </w:tcPr>
          <w:p>
            <w:r/>
            <w:r>
              <w:rPr>
                <w:sz w:val="18"/>
              </w:rPr>
              <w:t>0.3416 ± 0.0237</w:t>
            </w:r>
          </w:p>
        </w:tc>
        <w:tc>
          <w:tcPr>
            <w:tcW w:type="dxa" w:w="1584"/>
          </w:tcPr>
          <w:p>
            <w:r/>
            <w:r>
              <w:rPr>
                <w:sz w:val="18"/>
              </w:rPr>
              <w:t>0.7214 ± 0.0202</w:t>
            </w:r>
          </w:p>
        </w:tc>
      </w:tr>
      <w:tr>
        <w:tc>
          <w:tcPr>
            <w:tcW w:type="dxa" w:w="2232"/>
          </w:tcPr>
          <w:p>
            <w:r/>
            <w:r>
              <w:rPr>
                <w:sz w:val="18"/>
              </w:rPr>
              <w:t>shufflenet_v2_x1_0</w:t>
            </w:r>
          </w:p>
        </w:tc>
        <w:tc>
          <w:tcPr>
            <w:tcW w:type="dxa" w:w="1656"/>
          </w:tcPr>
          <w:p>
            <w:r/>
            <w:r>
              <w:rPr>
                <w:sz w:val="18"/>
              </w:rPr>
              <w:t>0.8321 ± 0.0049</w:t>
            </w:r>
          </w:p>
        </w:tc>
        <w:tc>
          <w:tcPr>
            <w:tcW w:type="dxa" w:w="1728"/>
          </w:tcPr>
          <w:p>
            <w:r/>
            <w:r>
              <w:rPr>
                <w:sz w:val="18"/>
              </w:rPr>
              <w:t>0.7169 ± 0.0181</w:t>
            </w:r>
          </w:p>
        </w:tc>
        <w:tc>
          <w:tcPr>
            <w:tcW w:type="dxa" w:w="1584"/>
          </w:tcPr>
          <w:p>
            <w:r/>
            <w:r>
              <w:rPr>
                <w:sz w:val="18"/>
              </w:rPr>
              <w:t>0.8136 ± 0.0217</w:t>
            </w:r>
          </w:p>
        </w:tc>
        <w:tc>
          <w:tcPr>
            <w:tcW w:type="dxa" w:w="1800"/>
          </w:tcPr>
          <w:p>
            <w:r/>
            <w:r>
              <w:rPr>
                <w:sz w:val="18"/>
              </w:rPr>
              <w:t>0.3627 ± 0.0069</w:t>
            </w:r>
          </w:p>
        </w:tc>
        <w:tc>
          <w:tcPr>
            <w:tcW w:type="dxa" w:w="1584"/>
          </w:tcPr>
          <w:p>
            <w:r/>
            <w:r>
              <w:rPr>
                <w:sz w:val="18"/>
              </w:rPr>
              <w:t>0.7545 ± 0.0035</w:t>
            </w:r>
          </w:p>
        </w:tc>
      </w:tr>
    </w:tbl>
    <w:p>
      <w:pPr>
        <w:spacing w:after="160"/>
      </w:pPr>
      <w:r>
        <w:rPr>
          <w:i w:val="0"/>
          <w:color w:val="1A2233"/>
          <w:sz w:val="21"/>
        </w:rPr>
      </w:r>
    </w:p>
    <w:p>
      <w:pPr>
        <w:spacing w:after="160"/>
      </w:pPr>
      <w:r>
        <w:rPr>
          <w:i/>
          <w:color w:val="5B6B79"/>
          <w:sz w:val="21"/>
        </w:rPr>
        <w:t>Balanced accuracy uses the validation-tuned threshold. Multi-pathology AUC of exactly 0.5000 indicates the head was removed in that configuration, not that it performed at chance.</w:t>
      </w:r>
    </w:p>
    <w:p>
      <w:pPr>
        <w:pStyle w:val="Heading1"/>
      </w:pPr>
      <w:r>
        <w:t>5. Limitations</w:t>
      </w:r>
    </w:p>
    <w:p>
      <w:pPr>
        <w:pStyle w:val="ListBullet"/>
        <w:spacing w:after="80"/>
      </w:pPr>
      <w:r>
        <w:rPr>
          <w:b/>
          <w:sz w:val="21"/>
        </w:rPr>
        <w:t xml:space="preserve">Reduced fidelity. </w:t>
      </w:r>
      <w:r>
        <w:rPr>
          <w:sz w:val="21"/>
        </w:rPr>
        <w:t>Results come from 256 × 256 inputs and 12 epochs. Conclusions about relative ordering may not transfer exactly to the full 512 × 512 / 15-epoch protocol.</w:t>
      </w:r>
    </w:p>
    <w:p>
      <w:pPr>
        <w:pStyle w:val="ListBullet"/>
        <w:spacing w:after="80"/>
      </w:pPr>
      <w:r>
        <w:rPr>
          <w:b/>
          <w:sz w:val="21"/>
        </w:rPr>
        <w:t xml:space="preserve">Statistical power. </w:t>
      </w:r>
      <w:r>
        <w:rPr>
          <w:sz w:val="21"/>
        </w:rPr>
        <w:t>3 seeds per configuration detects large effects only. A null result here means "not shown", not "no effect".</w:t>
      </w:r>
    </w:p>
    <w:p>
      <w:pPr>
        <w:pStyle w:val="ListBullet"/>
        <w:spacing w:after="80"/>
      </w:pPr>
      <w:r>
        <w:rPr>
          <w:b/>
          <w:sz w:val="21"/>
        </w:rPr>
        <w:t xml:space="preserve">Single split. </w:t>
      </w:r>
      <w:r>
        <w:rPr>
          <w:sz w:val="21"/>
        </w:rPr>
        <w:t>These runs use the fixed 70/15/15 split rather than cross-validation, so fold-difficulty variance is not averaged out.</w:t>
      </w:r>
    </w:p>
    <w:p>
      <w:pPr>
        <w:pStyle w:val="ListBullet"/>
        <w:spacing w:after="80"/>
      </w:pPr>
      <w:r>
        <w:rPr>
          <w:b/>
          <w:sz w:val="21"/>
        </w:rPr>
        <w:t xml:space="preserve">Encoder pretraining differs. </w:t>
      </w:r>
      <w:r>
        <w:rPr>
          <w:sz w:val="21"/>
        </w:rPr>
        <w:t>All backbones use ImageNet weights, but they were trained with different recipes and augmentation, which is part of what is being compared.</w:t>
      </w:r>
    </w:p>
    <w:p>
      <w:pPr>
        <w:pStyle w:val="ListBullet"/>
        <w:spacing w:after="80"/>
      </w:pPr>
      <w:r>
        <w:rPr>
          <w:b/>
          <w:sz w:val="21"/>
        </w:rPr>
        <w:t xml:space="preserve">Coupled removals. </w:t>
      </w:r>
      <w:r>
        <w:rPr>
          <w:sz w:val="21"/>
        </w:rPr>
        <w:t>Removing the lesion decoder also removes lesion-guided pooling and the consistency term, since both depend on it. That row is a combined ablation, not an isolated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129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29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129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